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4043-6k_upower.htm"/>
      <w:bookmarkStart w:id="1" w:name="ksea03040436k_upower"/>
      <w:bookmarkEnd w:id="0"/>
      <w:bookmarkEnd w:id="1"/>
      <w:r>
        <w:rPr>
          <w:bdr w:val="single" w:sz="16" w:space="1" w:color="000000"/>
        </w:rPr>
        <w:t> </w:t>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AND EXCHANGE COMMISSION</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 UNDER THE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001-41679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 Power Limited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18/F, Building 3, Science and Technology Industrial Park</w:t>
        <w:br/>
        <w:t>Yijiang District, Wuhu City, Anhui Province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b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 Power Limited Announces Share Consolidation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Power Limited, a Cayman Islands exempted company with limited liability (the “Company”), today announced that it plans to effect a consolidation of all of the Company’s authorized issued and unissued ordinary shares on a 20:1 basis (the “Share Consolidation”), which was approved by the Company’s board of directors on November 4, 2025, and approved by the Company’s shareholders on December 5, 2025. As a result of the Share Consolidation, the Company’s authorized share capital will be US$50,000 divided into 19,997,059.06 Class A ordinary shares of a par value of US$0.002 each, and 5,002,940.94 Class B ordinary shares of a par value of US$0.002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with the opening of trading on September 9, 2026, the Company’s Class A ordinary shares will trade on a post-Share Consolidation basis on the Nasdaq Capital Market under the same symbol, “UCAR,” but under a new CUSIP number of G9520U132. No fractional shares will be issued in connection with the Share Consolidation. Instead, record holders who otherwise would be entitled to receive fractional shares because they hold a number of shares not evenly divisible by the Share Consolidation ratio will automatically be entitled to receive an additional fraction of one share to round up to the next whole share. For those beneficial holders who hold shares through a brokerage firm, the Company intends to round up fractional shares at the participant level. Cash will not be paid for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445" w:type="dxa"/>
        <w:jc w:val="left"/>
        <w:tblInd w:w="0" w:type="dxa"/>
        <w:tblLayout w:type="fixed"/>
        <w:tblCellMar>
          <w:top w:w="0" w:type="dxa"/>
          <w:left w:w="0" w:type="dxa"/>
          <w:bottom w:w="0" w:type="dxa"/>
          <w:right w:w="0" w:type="dxa"/>
        </w:tblCellMar>
      </w:tblPr>
      <w:tblGrid>
        <w:gridCol w:w="2030"/>
        <w:gridCol w:w="545"/>
        <w:gridCol w:w="2870"/>
      </w:tblGrid>
      <w:tr>
        <w:trPr/>
        <w:tc>
          <w:tcPr>
            <w:tcW w:w="2030" w:type="dxa"/>
            <w:tcBorders/>
            <w:vAlign w:val="center"/>
          </w:tcPr>
          <w:p>
            <w:pPr>
              <w:pStyle w:val="TableContents"/>
              <w:bidi w:val="0"/>
              <w:spacing w:before="0" w:after="283"/>
              <w:jc w:val="left"/>
              <w:rPr/>
            </w:pPr>
            <w:r>
              <w:rPr/>
              <w:t> </w:t>
            </w:r>
          </w:p>
        </w:tc>
        <w:tc>
          <w:tcPr>
            <w:tcW w:w="341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 Power Limited</w:t>
            </w:r>
          </w:p>
        </w:tc>
      </w:tr>
      <w:tr>
        <w:trPr/>
        <w:tc>
          <w:tcPr>
            <w:tcW w:w="2030" w:type="dxa"/>
            <w:tcBorders/>
            <w:vAlign w:val="center"/>
          </w:tcPr>
          <w:p>
            <w:pPr>
              <w:pStyle w:val="TableContents"/>
              <w:bidi w:val="0"/>
              <w:spacing w:before="0" w:after="283"/>
              <w:jc w:val="left"/>
              <w:rPr/>
            </w:pPr>
            <w:r>
              <w:rPr/>
              <w:t> </w:t>
            </w:r>
          </w:p>
        </w:tc>
        <w:tc>
          <w:tcPr>
            <w:tcW w:w="3415" w:type="dxa"/>
            <w:gridSpan w:val="2"/>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3,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7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i/>
                <w:sz w:val="20"/>
              </w:rPr>
              <w:t>Jia Li</w:t>
            </w:r>
          </w:p>
        </w:tc>
      </w:tr>
      <w:tr>
        <w:trPr/>
        <w:tc>
          <w:tcPr>
            <w:tcW w:w="20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 Li</w:t>
            </w:r>
          </w:p>
        </w:tc>
      </w:tr>
      <w:tr>
        <w:trPr/>
        <w:tc>
          <w:tcPr>
            <w:tcW w:w="20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 of Directors</w:t>
            </w:r>
          </w:p>
        </w:tc>
      </w:tr>
    </w:tbl>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shd w:fill="FFFFFF" w:val="clear"/>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388</Words>
  <Characters>2020</Characters>
  <CharactersWithSpaces>2422</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