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0262-f3_upower.htm"/>
      <w:bookmarkStart w:id="1" w:name="ksea0300262f3_upower"/>
      <w:bookmarkEnd w:id="0"/>
      <w:bookmarkEnd w:id="1"/>
      <w:r>
        <w:rPr>
          <w:rFonts w:ascii="Times New Roman;Times;Serif" w:hAnsi="Times New Roman;Times;Serif"/>
          <w:b/>
          <w:i w:val="false"/>
          <w:caps w:val="false"/>
          <w:smallCaps w:val="false"/>
          <w:sz w:val="20"/>
        </w:rPr>
        <w:t>As filed with the U.S. Securities and Exchange Commission on August 3,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 Power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18/F, Building 3, Science and Technology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Yijiang District, Wuhu City, Anhui Province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People’s Republic of China, 241003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0086-21-6859-3598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Ying Li,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Lisa Forcht,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212-530-2206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securities may not be sold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7635" w:type="dxa"/>
        <w:jc w:val="left"/>
        <w:tblInd w:w="0" w:type="dxa"/>
        <w:tblLayout w:type="fixed"/>
        <w:tblCellMar>
          <w:top w:w="0" w:type="dxa"/>
          <w:left w:w="0" w:type="dxa"/>
          <w:bottom w:w="0" w:type="dxa"/>
          <w:right w:w="0" w:type="dxa"/>
        </w:tblCellMar>
      </w:tblPr>
      <w:tblGrid>
        <w:gridCol w:w="2750"/>
        <w:gridCol w:w="2675"/>
        <w:gridCol w:w="2210"/>
      </w:tblGrid>
      <w:tr>
        <w:trPr/>
        <w:tc>
          <w:tcPr>
            <w:tcW w:w="2750"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PRELIMINARY PROSPECTUS</w:t>
            </w:r>
          </w:p>
        </w:tc>
        <w:tc>
          <w:tcPr>
            <w:tcW w:w="2675" w:type="dxa"/>
            <w:tcBorders/>
            <w:vAlign w:val="center"/>
          </w:tcPr>
          <w:p>
            <w:pPr>
              <w:pStyle w:val="TableContents"/>
              <w:bidi w:val="0"/>
              <w:spacing w:before="0" w:after="283"/>
              <w:jc w:val="center"/>
              <w:rPr>
                <w:rFonts w:ascii="Times New Roman;Times;Serif" w:hAnsi="Times New Roman;Times;Serif"/>
                <w:b/>
                <w:color w:val="FF0000"/>
                <w:sz w:val="20"/>
              </w:rPr>
            </w:pPr>
            <w:r>
              <w:rPr>
                <w:rFonts w:ascii="Times New Roman;Times;Serif" w:hAnsi="Times New Roman;Times;Serif"/>
                <w:b/>
                <w:color w:val="FF0000"/>
                <w:sz w:val="20"/>
              </w:rPr>
              <w:t xml:space="preserve">SUBJECT TO COMPLETION </w:t>
            </w:r>
          </w:p>
        </w:tc>
        <w:tc>
          <w:tcPr>
            <w:tcW w:w="2210" w:type="dxa"/>
            <w:tcBorders/>
            <w:vAlign w:val="center"/>
          </w:tcPr>
          <w:p>
            <w:pPr>
              <w:pStyle w:val="TableContents"/>
              <w:bidi w:val="0"/>
              <w:spacing w:before="0" w:after="283"/>
              <w:jc w:val="right"/>
              <w:rPr>
                <w:rFonts w:ascii="Times New Roman;Times;Serif" w:hAnsi="Times New Roman;Times;Serif"/>
                <w:b/>
                <w:color w:val="FF0000"/>
                <w:sz w:val="20"/>
              </w:rPr>
            </w:pPr>
            <w:r>
              <w:rPr>
                <w:rFonts w:ascii="Times New Roman;Times;Serif" w:hAnsi="Times New Roman;Times;Serif"/>
                <w:b/>
                <w:color w:val="FF0000"/>
                <w:sz w:val="20"/>
              </w:rPr>
              <w:t>DATED AUGUST 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9,756,100 Class A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is filing this prospectus to cover the offer and resale by certain selling shareholders described herein (collectively, the “Selling Shareholders”) of up to an aggregate of 9,756,100 Class A ordinary shares, par value $0.0001 per share (the “Class A Ordinary Shares”). The Selling Shareholders may, from time to time, sell, transfer, or otherwise dispose of any or all of their Class A Ordinary Shares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Class A Ordinary Shares by the Selling Shareholders, but we will bear all costs, fees, and expenses in connection with the registration of the Class A Ordinary Shares offered by the Selling Shareholders. The Selling Shareholders will bear all commissions and discounts, if any, attributable to the sale of the Class A Ordinary Shares offered for resale through this prospectus. For information regarding the Selling Shareholders and the times and manner in which they may offer or sell the Class A Ordinary Shares, see “Selling Shareholders” and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$50,000 divided into 500,000,000 shares comprised of: (i) 399,941,181.2 Class A Ordinary Shares, and (ii) 100,058,818.8 Class B ordinary shares, par value $0.0001 per share (“Class B Ordinary Shares”). As of the date of this prospectus, there are 35,461,948 Class A Ordinary Shares and 36,805 Class B Ordinary Shares issued and outstanding, respectively.  Holders of Class A Ordinary Shares and Class B Ordinary Shares have the same rights except for voting and conversion rights. In respect of matters requiring a vote of all shareholders, each holder of Class A Ordinary Shares are entitled to one vote per one Class A Ordinary Share and each holder of Class B Ordinary Shares are entitled to 100 votes per one Class B Ordinary Share. Class A Ordinary Shares are not convertible into shares of any other class. Class B Ordinary Shares are convertible into Class A Ordinary Shares at any time after issuance at the option of the holder, and each one Class B Ordinary Share is convertible into one Class A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or “Nasdaq,” under the symbol “UCAR.” On July 31, 2026, the last reported sale price of our Class A Ordinary Shares on Nasdaq was $1.01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“Risk Factors” beginning on page 17 of this prospectus and risk factors set forth in our most recent annual report on Form 20-F (the “2025 Annual Report”), in other reports incorporated herein by reference, and in an applicable prospectus supplement under the heading “Risk Factors.”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Chinese operating company, but rather a holding company incorporated in the Cayman Islands. As a holding company with no material operations of our own, we conduct our operations through our operating entities established in the People’s Republic of China (the “PRC”). As such, our corporate structure involves unique risks to investors. Investors of our Class A Ordinary Shares do not directly own any equity interests in our Chinese operating subsidiaries, but will instead own shares of a Cayman Islands holding company. The Chinese regulatory authorities could intervene or influence the operations of our Chinese operating subsidiaries, including disallowing our corporate structure, which would likely result in a material change in our operations and/or a material change in the value of our Class A Ordinary Shares. See “Item 3. Key Information — D. Risk Factors — Risks Relating to Doing Business in China — 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legal and operational risks associated with being based in and having the majority of our operations in China. These risks may result in a material change in our operations, or a complete hindrance of our ability to offer or continue to offer our securities to investors, and could cause the value of such securities to significantly decline or become worthless. Since 2021,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and adopting new measures to extend the scope of cybersecurity reviews.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the Cyberspace Administration of China (the “CAC”), together with 12 other governmental departments of the PRC, jointly promulgated the Cybersecurity Review Measures, which became effective on February 15, 2022. The Cybersecurity Review Measures require that an online platform operator which possesses the personal information of at least one million users must apply for a cybersecurity review by the CAC if it intends to be listed in foreign countries. 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 On October 28, 2025, the Standing Committee of the National People’s Congress adopted a decision to amend the Cybersecurity Law of the People’s Republic of China. This revision significantly raises the maximum thresholds for financial penalties for violations, establishes a legal framework for the security governance of new technologies such as artificial intelligence, and further strengthens the security protection responsibilities and extraterritorial application of the law for network operators, particularly platforms. The amended law became effective on January 1, 2026. As confirmed by our PRC counsel, Guantao Law Firm, since we are not an online platform operator that possesses over one million users’ personal information, we are not subject to the cybersecurity review with the CAC under the Cybersecurity Review Measures and the Regulations on Network Data Security Administration. There remains uncertainty, however, as to how the Cybersecurity Review Measures will be interpreted or implemented and whether the PRC regulatory agencies, including the CAC, may adopt new laws, regulations, rules, or detailed implementation and interpretation related to the Cybersecurity Review Measures and the Regulations on Network Data Security Administration. For further details, see “Item 3. Key Information — D. Risk Factors — Risks Relating to Doing Business in China — We may become subject to a variety of laws and regulations in the PRC regarding privacy, data security, cybersecurity, and data protection.”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2021, the Chinese government has strengthened its anti-monopoly supervision, mainly in three aspects: (1) establishing the National Anti-Monopoly Bureau; (2) revising and promulgating anti-monopoly laws and regulations, including the Anti-Monopoly Law (draft Amendment published on October 23, 2021 for public opinion, the newly revised Monopoly Law that was promulgated on June 24, 2022, and became effective on August 1, 2022), the anti-monopoly guidelines for various industries, and the detailed Rules for the Implementation of the Fair Competition Review System;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operating entities engage in monopolistic behaviors that are subject to these statements or regulatory 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released the Trial Administrative Measures  of Overseas Securities Offering and Listing by Domestic Companies, or the Trial Measures, and five supporting guidelines, which came into effect on March 31, 2023. The Trial Measures regulate both direct and indirect overseas offering and listing by PRC domestic companies by adopting a filing-based regulatory regime.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Trial Measures (i.e. March 31, 2023) shall be deemed to be existing issuers (the “Existing Issuers”). Existing Issuers are not required to complete the filing procedures immediately; however Existing Issuers will be required to file with the CSRC for any subsequent offerings. Our PRC counsel, Guantao Law Firm, advised us that, since we obtained approval from both the U.S. Securities and Exchange Commission (the “SEC”) and The Nasdaq Stock Market LLC (“Nasdaq”) to issue and list our shares on the Nasdaq Capital Market prior to March 31, 2023, and closed our initial public offering on April 24, 2023, we were not required to complete the filing procedures with the CSRC for our initial public offering immediately pursuant to the Trial Measures. In the event that filings with the CSRC are required with respect to subsequent offerings, we cannot assure you that we can complete the filing procedures, obtain the approvals, or complete other compliance procedures in a timely manner, or at all, or that any completed filings or approvals or other compliance procedures fulfilled would not be later rescinded. Any such failure could subject us to sanctions by the CSRC or other PRC regulatory authorities. For further details, see “Item 3. Key Information — D. Risk Factors —Risks Relating to Doing Business in China — 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Guantao Law Firm, has advised us that, as of the date of this prospectus, we and our PRC subsidiaries have received from the PRC authorities all requisite licenses, permissions, or approvals that are required and material for conducting our operations in China, such as business licenses and auto dealer filings.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non-compliance and material change in our operations, and the value of our Class A Ordinary Shares could depreciate significantly or become worthless.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delisted under the Holding Foreign Companies Accountable Act (the “HFCAA”) if the Public Company Accounting Oversight Board of the United States (the “PCAOB”) is unable to inspect our auditors for three consecutive years beginning in 2021. On December 29, 2022, the Accelerating Holding Foreign Companies Accountable Act was signed into law as part of the Consolidated Appropriations Act, which amended the HFCAA by reducing the number of consecutive non-inspection years required for triggering the prohibitions under the HFCAA from three years to two.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(the “Determination”). On August 26, 2022, the CSRC, the Ministry of Finance of the PRC (the “MOF”), and the PCAOB signed the Statement of Protocol (the “Protocol”), governing inspections and investigations of audit firms based in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vacated its previous determinations to the contrary. Our former auditor, Onestop Assurance PAC (“Onestop”), was replaced by HHL LLP (“HHL”) on July 31, 2025. HHL, a PCAOB-registered public accounting firm headquartered in New York, was subsequently replaced by HCL, PLLC (“HCL”) as our independent registered public accounting firm, effective January 13, 2026. Our current auditor, HCL, and our former auditors, HHL and Onestop, are subject to oversight by the PCAOB, which entity conducts regular inspections to assess compliance with applicable professional standards. Our current auditor, HCL, is headquartered at 1415 W 37th Street, Suite 200, Chicago, IL 60609, and expects to be inspected by the PCAOB on a regular basis.  As such, as of the date of this prospectus, we have not been affected by the HFCAA and the related regulations. However, should PRC authorities obstruct or otherwise fail to facilitate the PCAOB’s access in the future, the PCAOB may consider the need to issue a new determination. There is a risk that our auditor cannot be inspected by the PCAOB in the future, and if the PCAOB determines that it cannot inspect or fully investigate our auditor for two consecutive years, our securities will be prohibited from trading on a national exchange or over-the-counter under the HFCAA, and, as a result, Nasdaq may determine to delist our securities, which may cause the value of our securities to decline or become worthless. See “Item 3. Key Information — D. Risk Factors —Risk Factors — Risks Relating to Doing Business in China — 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“foreign private issuer” and we are an “emerging growth company” under the federal securities laws and will be subject to reduced public company reporting requirements. See “Prospectus Summary — Implications of Being an Emerging Growth Company” on page 16 of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60"/>
        <w:gridCol w:w="455"/>
      </w:tblGrid>
      <w:tr>
        <w:trPr/>
        <w:tc>
          <w:tcPr>
            <w:tcW w:w="4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685" w:type="dxa"/>
            <w:tcBorders/>
            <w:shd w:fill="CCEEFF" w:val="clear"/>
            <w:vAlign w:val="center"/>
          </w:tcPr>
          <w:p>
            <w:pPr>
              <w:pStyle w:val="TableContents"/>
              <w:bidi w:val="0"/>
              <w:spacing w:before="0" w:after="283"/>
              <w:jc w:val="both"/>
              <w:rPr/>
            </w:pPr>
            <w:hyperlink w:anchor="J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2">
              <w:r>
                <w:rPr>
                  <w:rStyle w:val="InternetLink"/>
                  <w:rFonts w:ascii="Times New Roman;Times;Serif" w:hAnsi="Times New Roman;Times;Serif"/>
                  <w:sz w:val="20"/>
                </w:rPr>
                <w:t>Commonly Used Defined Terms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3">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4">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6">
              <w:r>
                <w:rPr>
                  <w:rStyle w:val="InternetLink"/>
                  <w:rFonts w:ascii="Times New Roman;Times;Serif" w:hAnsi="Times New Roman;Times;Serif"/>
                  <w:sz w:val="20"/>
                </w:rPr>
                <w:t>Offer Statistics and Expected Timetable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7">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8">
              <w:r>
                <w:rPr>
                  <w:rStyle w:val="InternetLink"/>
                  <w:rFonts w:ascii="Times New Roman;Times;Serif" w:hAnsi="Times New Roman;Times;Serif"/>
                  <w:sz w:val="20"/>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left"/>
              <w:rPr/>
            </w:pPr>
            <w:hyperlink w:anchor="J_009">
              <w:r>
                <w:rPr>
                  <w:rStyle w:val="InternetLink"/>
                  <w:rFonts w:ascii="Times New Roman;Times;Serif" w:hAnsi="Times New Roman;Times;Serif"/>
                  <w:sz w:val="20"/>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0">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1">
              <w:r>
                <w:rPr>
                  <w:rStyle w:val="InternetLink"/>
                  <w:rFonts w:ascii="Times New Roman;Times;Serif" w:hAnsi="Times New Roman;Times;Serif"/>
                  <w:sz w:val="20"/>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2">
              <w:r>
                <w:rPr>
                  <w:rStyle w:val="InternetLink"/>
                  <w:rFonts w:ascii="Times New Roman;Times;Serif" w:hAnsi="Times New Roman;Times;Serif"/>
                  <w:sz w:val="20"/>
                </w:rPr>
                <w:t>Material Contracts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3">
              <w:r>
                <w:rPr>
                  <w:rStyle w:val="InternetLink"/>
                  <w:rFonts w:ascii="Times New Roman;Times;Serif" w:hAnsi="Times New Roman;Times;Serif"/>
                  <w:sz w:val="20"/>
                </w:rPr>
                <w:t>Material Changes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4">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5">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6">
              <w:r>
                <w:rPr>
                  <w:rStyle w:val="InternetLink"/>
                  <w:rFonts w:ascii="Times New Roman;Times;Serif" w:hAnsi="Times New Roman;Times;Serif"/>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7">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J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 Selling Shareholders identified in this prospectus may offer from time to time up to 9,756,100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and the related exhibits, any prospectus supplement or amendment thereto, and the documents incorporated by reference, or to which we have referred you, before making your investment decision. We have not, and the Selling Shareholders have not, authorized any other person to provide you with different or additional information. If anyone provides you with different or inconsistent information, you should not rely on it. This prospectus is not an offer to sell, nor are the Selling Shareholders seeking an offer to buy, the Class A Ordinary Shares offered by this prospectus in any jurisdiction where the offer or sale is not permitted. You should assume that the information contained in this prospectus or in any applicable prospectus supplement is accurate only as of the date on the front cover thereof or the date of the document incorporated by reference, regardless of the time of delivery of this prospectus or any applicable prospectus supplement or any sales of the Class A Ordinary Shares offered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Class A Ordinary Shares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the Class A Ordinary Shares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J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AHYS” are to Anhui Yousheng New Energy Co., Ltd., a limited liability company established pursuant to PRC laws on May 16, 2013, which is controlled by WFOE (as defined below) with 100% equity ownership;</w:t>
            </w:r>
          </w:p>
        </w:tc>
      </w:tr>
    </w:tbl>
    <w:p>
      <w:pPr>
        <w:pStyle w:val="TextBody"/>
        <w:bidi w:val="0"/>
        <w:spacing w:before="0" w:after="0"/>
        <w:ind w:left="770" w:right="0" w:hanging="36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770" w:right="0" w:hanging="36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w:t>
            </w:r>
            <w:r>
              <w:rPr>
                <w:rFonts w:ascii="Times New Roman;Times;Serif" w:hAnsi="Times New Roman;Times;Serif"/>
                <w:sz w:val="20"/>
              </w:rPr>
              <w:t>China” and the “PRC” are to the People’s Republic of China;</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CD Youyineng” are to Chengdu Youyineng Automobile Service Co., Ltd., a limited liability company established pursuant to PRC laws on October 29, 2020, and is wholly owned by AHYS;</w:t>
            </w:r>
          </w:p>
        </w:tc>
      </w:tr>
    </w:tbl>
    <w:p>
      <w:pPr>
        <w:pStyle w:val="TextBody"/>
        <w:bidi w:val="0"/>
        <w:spacing w:before="0" w:after="0"/>
        <w:ind w:left="770" w:right="0" w:hanging="36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hd w:fill="FFFFFF" w:val="clear"/>
              </w:rPr>
            </w:pPr>
            <w:r>
              <w:rPr>
                <w:shd w:fill="FFFFFF" w:val="clear"/>
              </w:rPr>
              <w:t>“</w:t>
            </w:r>
            <w:r>
              <w:rPr>
                <w:rFonts w:ascii="Times New Roman;Times;Serif" w:hAnsi="Times New Roman;Times;Serif"/>
                <w:sz w:val="20"/>
                <w:shd w:fill="FFFFFF" w:val="clear"/>
              </w:rPr>
              <w:t>Class A ordinary shares” are to our Class A ordinary shares, par value US$0.0001 per share;</w:t>
            </w:r>
          </w:p>
        </w:tc>
      </w:tr>
    </w:tbl>
    <w:p>
      <w:pPr>
        <w:pStyle w:val="TextBody"/>
        <w:bidi w:val="0"/>
        <w:spacing w:before="0" w:after="0"/>
        <w:ind w:left="770" w:right="0" w:hanging="36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hd w:fill="FFFFFF" w:val="clear"/>
              </w:rPr>
            </w:pPr>
            <w:r>
              <w:rPr>
                <w:shd w:fill="FFFFFF" w:val="clear"/>
              </w:rPr>
              <w:t>“</w:t>
            </w:r>
            <w:r>
              <w:rPr>
                <w:rFonts w:ascii="Times New Roman;Times;Serif" w:hAnsi="Times New Roman;Times;Serif"/>
                <w:sz w:val="20"/>
                <w:shd w:fill="FFFFFF" w:val="clear"/>
              </w:rPr>
              <w:t>Class B ordinary shares” are to our Class B ordinary shares, par value US$0.0001 per share;</w:t>
            </w:r>
          </w:p>
        </w:tc>
      </w:tr>
    </w:tbl>
    <w:p>
      <w:pPr>
        <w:pStyle w:val="TextBody"/>
        <w:bidi w:val="0"/>
        <w:spacing w:before="0" w:after="0"/>
        <w:ind w:left="770" w:right="0" w:hanging="36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pPr>
            <w:r>
              <w:rPr/>
              <w:t>“</w:t>
            </w:r>
            <w:r>
              <w:rPr>
                <w:rFonts w:ascii="Times New Roman;Times;Serif" w:hAnsi="Times New Roman;Times;Serif"/>
                <w:sz w:val="20"/>
              </w:rPr>
              <w:t>EV” are to electric vehicle;</w:t>
            </w:r>
          </w:p>
        </w:tc>
      </w:tr>
    </w:tbl>
    <w:p>
      <w:pPr>
        <w:pStyle w:val="TextBody"/>
        <w:bidi w:val="0"/>
        <w:spacing w:before="0" w:after="0"/>
        <w:ind w:left="77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w:t>
            </w:r>
            <w:r>
              <w:rPr>
                <w:rFonts w:ascii="Times New Roman;Times;Serif" w:hAnsi="Times New Roman;Times;Serif"/>
                <w:sz w:val="20"/>
              </w:rPr>
              <w:t>Hong Kong” or “HK” are to the Hong Kong Special Administrative Region of the PRC;</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ISO” are to a series of quality management and quality assurance standards published by International Organization for standardization, a non-government organization based in Geneva, Switzerland, for assessing the quality systems of business organizations;</w:t>
            </w:r>
          </w:p>
        </w:tc>
      </w:tr>
    </w:tbl>
    <w:p>
      <w:pPr>
        <w:pStyle w:val="TextBody"/>
        <w:bidi w:val="0"/>
        <w:spacing w:before="0" w:after="0"/>
        <w:ind w:left="77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mainland China” are to the mainland China of the PRC, excluding Taiwan, the special administrative regions of Hong Kong and Macau for the purposes of this prospectus only;</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our PRC subsidiaries”, or “PRC operating subsidiaries,” are to AHYS and its subsidiaries, including CD Youyineng, SH Youteng (defined below), SH Youxu (defined below), Youpin (defined below), Youpin SD (defined below), and their respective subsidiaries;</w:t>
            </w:r>
          </w:p>
        </w:tc>
      </w:tr>
    </w:tbl>
    <w:p>
      <w:pPr>
        <w:pStyle w:val="TextBody"/>
        <w:bidi w:val="0"/>
        <w:spacing w:before="0" w:after="0"/>
        <w:ind w:left="770" w:right="0" w:hanging="36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w:t>
            </w:r>
            <w:r>
              <w:rPr>
                <w:rFonts w:ascii="Times New Roman;Times;Serif" w:hAnsi="Times New Roman;Times;Serif"/>
                <w:sz w:val="20"/>
              </w:rPr>
              <w:t>RMB” and “Renminbi” are to the legal currency of China;</w:t>
            </w:r>
          </w:p>
        </w:tc>
      </w:tr>
    </w:tbl>
    <w:p>
      <w:pPr>
        <w:pStyle w:val="TextBody"/>
        <w:bidi w:val="0"/>
        <w:spacing w:before="0" w:after="0"/>
        <w:ind w:left="770" w:right="0" w:hanging="36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our Class A ordinary shares and our Class B ordinary shares, collectively;</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 Youteng” are to Shanghai Youteng Automobile Service Co., Ltd., a limited liability company established pursuant to PRC laws on November 3, 2020, and AHYS holds 70% of its equity interest;</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 Youxu” are to Shanghai Youxu New Energy Technology Co., Ltd., a limited liability company established pursuant to PRC laws on March 22, 2021, and AHYS holds 70% of its equity interest;</w:t>
            </w:r>
          </w:p>
        </w:tc>
      </w:tr>
    </w:tbl>
    <w:p>
      <w:pPr>
        <w:pStyle w:val="TextBody"/>
        <w:bidi w:val="0"/>
        <w:spacing w:before="0" w:after="0"/>
        <w:ind w:left="770" w:right="0" w:hanging="36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w:t>
            </w:r>
            <w:r>
              <w:rPr>
                <w:rFonts w:ascii="Times New Roman;Times;Serif" w:hAnsi="Times New Roman;Times;Serif"/>
                <w:sz w:val="20"/>
              </w:rPr>
              <w:t>SME dealers” are to small and medium sized vehicle dealers;</w:t>
            </w:r>
          </w:p>
        </w:tc>
      </w:tr>
    </w:tbl>
    <w:p>
      <w:pPr>
        <w:pStyle w:val="TextBody"/>
        <w:bidi w:val="0"/>
        <w:spacing w:before="0" w:after="0"/>
        <w:ind w:left="770" w:right="0" w:hanging="36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170"/>
        <w:gridCol w:w="7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w:t>
            </w:r>
            <w:r>
              <w:rPr>
                <w:rFonts w:ascii="Times New Roman;Times;Serif" w:hAnsi="Times New Roman;Times;Serif"/>
                <w:sz w:val="20"/>
              </w:rPr>
              <w:t>UK” are to the United Kingdom, made up of England, Scotland, Wales and Northern Ireland;</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“US” or “United States” are to United States of America, its territories, its possessions and all areas subject to its jurisdiction;</w:t>
            </w:r>
          </w:p>
        </w:tc>
      </w:tr>
    </w:tbl>
    <w:p>
      <w:pPr>
        <w:pStyle w:val="TextBody"/>
        <w:bidi w:val="0"/>
        <w:spacing w:before="0" w:after="0"/>
        <w:ind w:left="770" w:right="0" w:hanging="36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w:t>
            </w:r>
            <w:r>
              <w:rPr>
                <w:rFonts w:ascii="Times New Roman;Times;Serif" w:hAnsi="Times New Roman;Times;Serif"/>
                <w:sz w:val="20"/>
              </w:rPr>
              <w:t>US$,” “$” and “U.S. dollars” are to the legal currency of the United States;</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“us,” the “Company,” “our”, and “Upincar” are to U Power Limited, the Cayman Islands holding company, and its predecessor entity and its subsidiaries, as the context requires;</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WFOE” are to our wholly owned Chinese subsidiary, Shandong Yousheng New Energy Technology Development Co., Ltd., a limited liability company established pursuant to PRC laws on January 27, 2022;</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Youpin” are to Youpin Automobile Service Group Co., Ltd., a limited liability company established pursuant to PRC laws on July 18, 2013, and AHYS holds 54.37% of its equity interest; and</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Youpin SD” are to Youpin Automobile Service (Shandong) Co., Ltd., a limited liability company established pursuant to PRC laws on June 30, 2020, and AHYS holds 87% of its equity interest. </w:t>
            </w:r>
          </w:p>
        </w:tc>
      </w:tr>
    </w:tbl>
    <w:p>
      <w:pPr>
        <w:pStyle w:val="TextBody"/>
        <w:bidi w:val="0"/>
        <w:spacing w:before="0" w:after="0"/>
        <w:ind w:left="77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J_004"/>
      <w:bookmarkEnd w:id="5"/>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Investors are cautioned that the Class A Ordinary Shares offered under this prospectus are securities of U Power Limited, our Cayman Islands holding company, which is not a Chinese operating company, nor does it have any substantive business operations. U Power Limited conducts business in China through PRC operating entities.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provider in China of comprehensive AI-integrated energy solutions that connect electric vehicles (EVs) with advanced energy infrastructure, optimizing both mobility and grid performance. Originally, we were a distributor of various battery-swapping station models built on our proprietary modular battery-swapping technology, UOTTA™, and have since evolved into a provider of AI-integrated solutions for energy grids and transportation systems.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investments in next-generation technologies, we are endeavoring to build intelligent ecosystems that integrate resilient AI-driven solutions to transform EVs into dynamic energy assets. By incorporating AI algorithms, our comprehensive solutions for smart energy grids are designed to support autonomous EV driving, optimize energy replenishment efficiency, and seamlessly connect EV assets with advanced AI-powered transportation systems, enabling peak and off-peak energy load balancing.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From our commencement of operations in 2013 through fiscal year 2022, we were principally engaged in the provision of vehicle sourcing services. For such services, we brokered sales of vehicles between automobile wholesalers and buyers, including SME dealers and individual customers primarily located in the lower-tier cities in China, which are smaller and less developed than the tier-1 or tier-2 cities. We focused on building business relationships with our sourcing partners and developed a vehicle sourcing network. As of the date of this prospectus, our vehicle sourcing network consisted of approximately 100 wholesalers and 30 SME dealers located in lower-tier cities in China . For fiscal years ended December 31, 2023, 2024 and 2025, our revenues from the sourcing business were RMB1.5 million, RMB0.1 million and RMB1.1 million, which constituted 7.7%, 0.1% and 2.7%, respectively, of our total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Beginning in 2020, we gradually shifted our focus from the vehicle sourcing business to the development of our proprietary battery-swapping technology, or UOTTA technology. According to Frost &amp; Sullivan, the PRC government will focus on promoting the electrification of commercial vehicles in the next few years, and it is expected that the sales volume of electric commercial vehicles will grow from 218.9 thousand units in 2022 to 431.0 thousand units in 2026 at a compound annual growth rate (“CAGR”) of 18.5% in China, and with the increasing penetration rates of electric commercial vehicles and the expanding battery-swapping infrastructure network, the market size by revenue of battery swapping solutions for electric commercial vehicles is expected to increase from approximately RMB22,097.6 million in 2022 to RMB176,615.1 million in 2026, representing a CAGR of 68.1%. In order to capture the opportunities arising from such growth, our plan is to develop a comprehensive EV battery power solution based on UOTTA technology, which mainly consists of: (i) vehicle-mounted supervisory control units that monitor the real-time status of an EV’s battery packs; (ii) customized vehicle control units (“VCUs”), which upload real-time data of the electric vehicle, such as its battery status, real-time location and safety status, to our data platform, using Bluetooth and/or Wi-Fi technologies; (iii) our data management platform, which collects and synchronizes real-time information of the EVs uploaded by their respective VCUs, and provides information on the availability and locations of compatible UOTTA battery-swapping stations that assist drivers in locating the nearest compatible UOTTA battery-swapping station(s) available when the EV’s battery is determined to be lower than a certain level; and (iv) UOTTA battery-swapping stations designed for precise positioning, rapid disassembly, compact integration and flexible deployment of battery swapping for compatible EVs.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established in-house capabilities in the innovation of EV battery-swapping technology. Through our research and development efforts, we are developing an intellectual property portfolio in furtherance of the foregoing goals. As of the date of this prospectus, we had 51 issued patents and 18 pending patent applications in China. Our research and development team is committed to technology innovation. As of the date of this prospectus, our research and development team consisted of 25 personnel and is led by Mr. Rui Wang and Mr. Zhanduo Hao, each of whom has experience of over 20 years in the electric power sector.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2021, leveraging years of automobile industry experience, we started cooperating with major automobile manufactures to jointly develop UOTTA-powered EVs, by adapting selected EV models with our UOTTA technology. According to Frost &amp; Sullivan, compared with passenger EV drivers, drivers of commercial-use EVs experience more range anxiety and are more motivated to shorten, or even eliminate, time spent on recharging EVs, therefore, we intend to primarily focus on developing commercial-use UOTTA-powered EVs, such as ride-hailing passenger EVs, small logistics EVs, light electric trucks, and heavy electric trucks, and their compatible UOTTA battery-swapping stations. As of the date of this prospectus, we have entered into cooperating agreements with two major Chinese automobile manufacturers, FAW Jiefang Qingdao Automotive Co., Ltd, and HUBEI TRI-RING Motor Co., Ltd, to jointly develop UOTTA-powered electric trucks. We also have engaged with one battery-swapping station manufacture to jointly develop and manufacture UOTTA battery-swapping stations that are compatible with UOTTA-powered EVs.  Our UOTTA battery-swapping stations are designed for precise positioning, rapid disassembly, compact integration and flexible deployment, allowing battery replacement within several minutes. As of the date of this prospectus, we realized sales of eleven battery-swapping stations. In August 2021, we completed the construction of our own battery-swapping station factory in Zibo City, Shandong Province (the “Zibo Factory”), which commenced manufacturing UOTTA battery-swapping stations in January 2022. In January 2022, we started operating a battery-swapping station, and in March 2023, we started operating a second battery-swapping station, both in Quanzhou City, Fujian Province, pursuant to our station cooperation agreement with Quanzhou Xinao. In order to provide a comprehensive battery power solution based on UOTTA technology, we are in the process of developing a data management platform that connects UOTTA-powered EVs and stations, and assists the UOTTA-powered EV drivers in locating the closest compatible UOTTA swapping-stations on their routes. We believe we have made significant progress in entering into the EV market as of the date of this prospectus, however, there is no assurance that we will be able to execute our business plan to expand into the EV market as we have planned. For fiscal years ended December 31 2023, 2024, and 2025, our revenues from the EV business were RMB17.1 million, RMB41.8 million, and RMB36.6 million, which constituted 86.3%, 94.5%, and 89.1%, respectively, of our total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Variation of Share Capital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2024 annual general meeting of shareholders (the “2024 AGM”) of the “Company was held on August 13, 2024. At the 2024 AGM, the shareholders of the Company adopted the following resolutions with respect to the variation of share capital: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(the “Shares”) in the capital of the Company (other than the 71,250 Shares held by U Create Limited, the 157,859 Shares held by U Trend Limited, the 149,435 Shares held by Upincar Limited and the 209,644 Shares held by Fortune Light Assets Ltd) into Class A Ordinary Shares of US$0.00001 each, with each Class A Ordinary Share entitled to one vote;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Shares held by U Create Limited, the 157,859 Shares held by U Trend Limited, the 149,435 Shares held by Upincar Limited and the 209,644 Shares held by Fortune Light Assets Ltd into Class B Ordinary Shares of US$0.00001 each, with each Class B Ordinary Share entitled to 20 votes;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803" w:type="dxa"/>
        <w:jc w:val="left"/>
        <w:tblInd w:w="0" w:type="dxa"/>
        <w:tblLayout w:type="fixed"/>
        <w:tblCellMar>
          <w:top w:w="0" w:type="dxa"/>
          <w:left w:w="0" w:type="dxa"/>
          <w:bottom w:w="0" w:type="dxa"/>
          <w:right w:w="0" w:type="dxa"/>
        </w:tblCellMar>
      </w:tblPr>
      <w:tblGrid>
        <w:gridCol w:w="38"/>
        <w:gridCol w:w="23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Shares as Class A Ordinary Shares;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458" w:type="dxa"/>
        <w:jc w:val="left"/>
        <w:tblInd w:w="0" w:type="dxa"/>
        <w:tblLayout w:type="fixed"/>
        <w:tblCellMar>
          <w:top w:w="0" w:type="dxa"/>
          <w:left w:w="0" w:type="dxa"/>
          <w:bottom w:w="0" w:type="dxa"/>
          <w:right w:w="0" w:type="dxa"/>
        </w:tblCellMar>
      </w:tblPr>
      <w:tblGrid>
        <w:gridCol w:w="38"/>
        <w:gridCol w:w="24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Shares as Class B Ordinary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two Material Definitive Agreements with Fortune Light Assets Ltd.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13, 2024, we entered into a subscription agreement with Fortune Light Assets Ltd.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June 15,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492,611 Ordinary Shares of the Company at a per share price of $6.09 for a total purchase price of up to $3,000,000, pursuant to an agreement which shall be in customary form reasonably acceptable to the parties, and such right to purchase additional shares will be terminated on the two-year anniversary of the execution date of the subscription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24, 2024, we entered into a subscription agreement with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July 3,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164,204 Ordinary Shares of the Company at a per share price of $6.09 for a total purchase price of up to $1,000,002.36, pursuant to an agreement which shall be in customary form reasonably acceptable to the parties, and such right to purchase additional shares will be terminated on the two-year anniversary of the execution date of this subscription agreement.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Agreements with Big Benefit Ltd.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23, 2024, we entered into a subscription agreement with Big Benefit Ltd. (“BBL”). Pursuant to the subscription agreement, BBL agreed to subscribe for and purchase, and the Company agreed to issue and sell to BBL, pursuant to Regulation S under the Securities Act of 1933, as amended, an aggregate of 419,289 Ordinary Shares of the Company, par value US$0.00001 per share, at a purchase price of $4.77 per ordinary share, for an aggregate purchase price of $2,000,008.53.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closing of the transaction took place on June 10, 2024. BBL is entitled to demand registration with respect to the 419,289 Ordinary Shares (such demand registration right will expire on the six-month anniversary of the execution date of the subscription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Joint Venture in Thailand (December 2024)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25, 2024, U SWAP Co., Ltd., signed a cooperation agreement with Ezzy Transporter (Thailand) Company Limited (“Ezzy Transporter”) to establish Greendrive Tech Co. Ltd. (“Greendrive”), a company formed for the purpose of expanding the market for and facilitating the sale of electric vehicles (“EVs”) in Thailand (the “Joint Venture”). Pursuant to the agreement, the parties to the Joint Venture will seek to integrate the Company’s proprietary UOTTA battery-swapping technology into a diversified fleet of vehicles in Thailand, including taxis, ride-sharing vehicles, and multipurpose pickup trucks.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Joint Venture will undertake the three following principal areas of strategic development: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Customization of battery-swapping EVs to meet targeted customer requirements;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a comprehensive battery-swapping ecosystem within the taxi and ride-sharing markets, including vehicle sales, battery-swapping station operations, and end-of-life vehicle recycling initiatives;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Marketing and distribution of battery-swapping pick-up trucks, with an emphasis on building and expanding a robust dealer network throughout Thailand.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these complementary activities, the Joint Venture is expected to deliver integrated EV solutions across the entire electric vehicle value chain in the region.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Greendrive’s initial production run is scheduled for completion in 2026 and will consist of approximately 2,000 custom-built sedans and multipurpose pickup trucks equipped with UOTTA technology. The Company also intends to explore future cooperation opportunities with other strategic partners to invest in and expand the UOTTA battery-swapping station infrastructure in Thailand, with the objective of supporting the full-scale commercialization of the UOTTA battery-swapping model amid Thailand’s ongoing transition toward electric mobility.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 with certain institutional investors (January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24, 2025, we entered into a securities purchase agreement with certain institutional investors, pursuant to which we issued and sold i) in a registered direct offering 648,000 Class A ordinary shares of US$0.00001 each and pre-funded warrants to purchase up to 393,668 Class A ordinary shares of US$0.00001 each (the “January 24, 2025 Pre-funded Warrants”), and ii) in a concurrent private placement, common warrants to purchase up to 1,562,502 Class A ordinary shares of US$0.00001 each (the “January 24, 2025 Common Warrants”), which have an exercise price of $4.80 per Class A ordinary share of US$0.00001 each, are exercisable immediately as of such date and will expire on January 28, 2030 (the “January 2025 Offering”). The combined offering price for each Class A ordinary share of US$0.00001 each and accompanying January 24, 2025 Common Warrant was $4.80. The closing of the transaction took place on January 27, 2025. The gross proceeds to the Company were approximately $5.0 million before deducting the placement agent’s fees and other offering expenses.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ordinary shares of US$0.00001 each, the January 24, 2025 Pre-Funded Warrants and the Class A ordinary shares of US$0.00001 each underlying the January 24, 2025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January 24, 2025. The issuance of the January 24, 2025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 with Certain Institutional Investors (July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24, 2025, we entered into a securities purchase agreement (the “July 2025 SPA”) with certain institutional investors, pursuant to which we issued and sold (i) in a registered direct offering 445,000 Class A ordinary shares of the Company, par value $0.00001 per share, and certain pre-funded warrants to purchase up to 106,628 Class A ordinary shares of the Company, par value $0.00001 per share, and (ii) in a concurrent private placement, certain common warrants to purchase up to 551,628 Class A ordinary shares of the Company, par value $0.00001 per share, which common warrants have an exercise price of $2.50 per Class A ordinary share of the Company, par value $0.00001 per share, are exercisable immediately and will expire on July 24, 2030. The combined offering price for each Class A ordinary share of the Company, par value $0.00001 per share, and accompanying common warrant was $2.50. The closing of the transaction took place on July 25, 2025. The gross proceeds to the Company were $1.38 million before deducting the placement agent’s fees and other offering expenses.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ordinary shares, the pre-funded warrants and the Class A ordinary shares underlying the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July 24, 2025. The issuance of the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Material Agreements with Maxim Group LLC and an institutional investor (December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 2025, we entered into a placement agency agreement (the “Placement Agency Agreement”) with Maxim Group LLC, as the sole placement agent, and a securities purchase agreement (the “December 2025 SPA”) with an institutional investor, pursuant to which the Company received US$2,013,600 in consideration for the issuance of a series of senior secured promissory notes (collectively, the “2025 Senior Secured Promissory Notes”) in the original aggregate principal amount of US$2,517,000 to the institutional investor.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2025 Senior Secured Promissory Notes were issued with twenty percent (20%) original issue discount, and bear no interest unless an event of default occurs, and are due and payable by the Company on the maturity date of March 1, 2026. Any principal or other amounts due under the December 2025 SPA and the 2025 Senior Secured Promissory Notes that are not paid when due (excluding amounts already accruing interest at the default rate established therefor under the 2025 Senior Secured Promissory Notes) will incur a late charge equal to 18% per annum from the due date until fully paid.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on December 1, 2025, the institutional investor and certain subsidiaries of the Company (collectively, the “Pledgors”), entered into a pledge agreement (the “Pledge Agreement”), pursuant to which the Pledgors pledged their respective interests in ordinary shares of the Company and other related collateral (collectively, the “Pledged Collateral”) to the investor, to secure the prompt payment and performance of all obligations under the 2025 Senior Secured Promissory Notes, the December 2025 SPA, and related transaction documents. Concurrently therewith, the Company, the Pledgors, and the institutional investor entered into an equity interest control agreement to perfect the security interest pledged in the Pledged Collateral pursuant to the Pledge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accordance with the terms of the Senior Secured Promissory Notes, in the event of any delay in the repayment of principal, the Company was required to pay a late charge at a rate equal to 18% per annum, calculated from the applicable due date until such amount is fully paid.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securities described above were sold pursuant to an exemption from the registration requirements under Section 4(a)(2) of the Securities Act and/or Rule 506 of Regulation D promulgated thereunder. The investor is an accredited investor that purchased the securities as an investment in a private placement that did not involve a general solicitation.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20, 2026, the Company repaid US$$2,539,653.00 to settle the outstanding principal balance due on the 2025 Senior Secured Promissory Notes and the 18% per annum late charge (which accrued as of their maturity on March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 of Voting Power (December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 all fractional shares (after aggregating all fractional shares that would otherwise be received by a shareholder) resulting from each of the Share Consolidations will be rounded up to the whole number of shares.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Warrant Exchange and Cancellation Agreement with SABBY VOLATILITY WARRANT MASTER FUND LTD. (March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18, 2026, we entered into a Warrant Exchange and Cancellation Agreement (the “Exchange Agreement”) with SABBY VOLATILITY WARRANT MASTER FUND LTD. (the “Holder”), pursuant to which the Holder agreed to the full surrender and cancellation of 551,628 ordinary share purchase warrants previously issued to the Holder on July 25, 2025 (the “Cancelled Warrants”). Upon such cancellation, all rights under the Cancelled Warrants, including the price reset mechanisms set forth in Section 3(b) thereof, were terminated and are of no further force or effect.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exchange for the cancellation of the Cancelled Warrants, the Company agreed to issue 3,000,000 Class A ordinary shares of the Company, par value $0.00001 per share, to the Holder (the “Exchange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exchange of the Cancelled Warrants for the Exchange Shares was made in reliance upon the exemption from registration provided by Section 3(a)(9) of the Securities Act. No commission or other remuneration was paid or given, directly or indirectly, for soliciting such exchange.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annual report, all of the Exchange Shares were issued to the Holder.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Follow-on Offering (March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20, 2026, the Company closed its underwritten follow-on offering (the “March 2026 Offering”) of 13,360,000 units (each, a “Unit,” and, collectively, the “Units”), with each Unit consisting of (i) one Class A ordinary share, par value $0.00001 per share , and (ii) one Class A warrant to purchase one Class A ordinary share, par value $0.00001 per share, (each, a “Class A Warrant,” and, collectively, the “Class A Warrants”), at a public offering price of $0.449 per Unit, for aggregate gross proceeds to the Company of approximately $6 million, before deducting underwriting discounts and offering expenses payable by the Company. The Units, the Class A ordinary shares, par value $0.00001 per share, the Class A Warrants, and the shares underlying the Class A Warrants are collectively referred to herein as the “March 2026 Securities.” The Company also granted the underwriter an over-allotment option exercisable for up to forty-five (45) days after the date of the March 2026 Offering, which permits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Warrants have a one-year term, are immediately exercisable after issuance, and had an initial exercise price of $0449 per Class A ordinary share, par value $0.00001 per share. On the 2nd and 5th trading day following the closing of the March 2026 Offering, the exercise price of the Class A Warrants was reduced to 70% and 50% of the initial exercise price, or $0.3143 and $0.2245 per Class A ordinary share, par value $0.00001 per share, respectively. Upon each adjustment to the exercise price for the Class A Warrants, the number of issuable shares underlying the Class A Warrants were proportionally increased so that so that after such adjustment the aggregate exercise price of the Class A Warrants remained the same. The Class A Warrants also provide for a zero exercise price option, in which the holder will receive two (2) Class A Ordinary Shares that would be issuable upon a cash exercise of the Class A Warrant, without payment of additional consideration.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March 2026 Securities were offered pursuant to the Company’s registration statement on Form F-1, as amended (File No. 333-294161), which was initially filed with the SEC on March 10, 2026 and declared effective by the SEC on March 18,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March 2026 Offering was conducted pursuant to an underwriting agreement, dated March 19, 2026, by and between the Company and Maxim Group LLC, as the sole book-running.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First Share Consolidation (April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Material Agreements with certain investors </w:t>
      </w:r>
      <w:r>
        <w:rPr>
          <w:rFonts w:ascii="Times New Roman;Times;Serif" w:hAnsi="Times New Roman;Times;Serif"/>
          <w:b/>
          <w:i w:val="false"/>
          <w:caps w:val="false"/>
          <w:smallCaps w:val="false"/>
          <w:sz w:val="20"/>
          <w:bdr w:val="single" w:sz="12" w:space="1" w:color="000000"/>
        </w:rPr>
        <w:t>(April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7, 2026, the Company entered into subscription agreements (collectively, the “April 7, 2026 Subscription Agreements”) with seven purchasers. Pursuant to the April 7, 2026 Subscription Agreements, and in reliance on Regulation S, certain investors agreed to subscribe for and purchase from the Company, and the Company agreed to issue and sell to such investors, an aggregate of 2,900,000 Class A Ordinary Shares at a purchase price of $1.10 per share, for an aggregate purchase price of $3,190,000. The investors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entry into the April 7, 2026 Subscription Agreements and the transactions contemplated thereby were approved by the Company’s board of directors on April 6,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Joint Venture in Thailand </w:t>
      </w:r>
      <w:r>
        <w:rPr>
          <w:rFonts w:ascii="Times New Roman;Times;Serif" w:hAnsi="Times New Roman;Times;Serif"/>
          <w:b/>
          <w:i w:val="false"/>
          <w:caps w:val="false"/>
          <w:smallCaps w:val="false"/>
          <w:sz w:val="20"/>
          <w:bdr w:val="single" w:sz="12" w:space="1" w:color="000000"/>
        </w:rPr>
        <w:t>(April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the Company entered into a joint venture agreement with Jiangsu Guofu Hydrogen Energy Equipment Co., Ltd. (“Guofu Hydrogen Energy”) and Cloud Digital Chain Limited to establish a U Power-controlled joint venture aimed at providing AI-driven energy management solutions for data centers, initially in Thailand, and with plans for global expansion (the “Joint Venture Agreement”). Based on the Joint Venture Agreement, the joint venture, “Hydro Data Limited,” was established in Hong Kong on May 20,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26, 2026, Hydro Data Limited entered into an agreement with CEWA Group (“CEWA”) and Guofu Hydrogen Energy, for the development of an integrated energy solution for a 100MW intelligence data center (“IDC”) project in Rayong, Thailand (the “IDC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IDC Agreement, Hydro Data Limited, as the comprehensive energy solution provider, will work with CEWA, as the regional infrastructure developer, and Guofu Hydrogen Energy, as the hydrogen systems provider, to execute the project with a phased deployment structure, beginning with a 3MW pilot project in Rayong, Thailand by the end of 2026 to validate the technology and economics and to establish a framework for deploying integrated hydrogen-based and clean energy solutions for large-scale digital infrastructure, with potential to scale up to 100MW.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the project contemplated in the IDC Agreement, the Company expects to facilitate its expansion into comprehensive energy solutions for IDCs in Southeast Asia and anticipates such project to provide the Company exposure to Thailand’s growing data center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Material Agreements with certain investors </w:t>
      </w:r>
      <w:r>
        <w:rPr>
          <w:rFonts w:ascii="Times New Roman;Times;Serif" w:hAnsi="Times New Roman;Times;Serif"/>
          <w:b/>
          <w:i w:val="false"/>
          <w:caps w:val="false"/>
          <w:smallCaps w:val="false"/>
          <w:sz w:val="20"/>
          <w:bdr w:val="single" w:sz="12" w:space="1" w:color="000000"/>
        </w:rPr>
        <w:t>(April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27, 2026, the Company entered into certain subscription agreements (collectively, the “April 27, 2026 Subscription Agreements”) with ten purchasers. Pursuant to the April 27, 2026 Subscription Agreements, and in reliance on Regulation S, the purchasers agreed to subscribe for and purchase from the Company, and the Company agreed to issue and sell to the purchasers, an aggregate of 15,670,737 Class A Ordinary Shares at a purchase price of $1.64 per share, for an aggregate purchase price of $25.7 million. Each of the purchasers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entry into the April 27, 2026 Subscription Agreements and the transactions contemplated thereby were approved by the Company’s board of directors on April 24,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Material Agreements with certain investors </w:t>
      </w:r>
      <w:r>
        <w:rPr>
          <w:rFonts w:ascii="Times New Roman;Times;Serif" w:hAnsi="Times New Roman;Times;Serif"/>
          <w:b/>
          <w:i w:val="false"/>
          <w:caps w:val="false"/>
          <w:smallCaps w:val="false"/>
          <w:sz w:val="20"/>
          <w:bdr w:val="single" w:sz="12" w:space="1" w:color="000000"/>
        </w:rPr>
        <w:t>(August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the Company entered into certain subscription agreements (collectively, the “August 3, 2026 Subscription Agreements”) with four purchasers. Pursuant to the August 3, 2026 Subscription Agreements, and in reliance on Regulation S, the purchasers agreed to subscribe for and purchase from the Company, and the Company agreed to issue and sell to the purchasers, an aggregate of 9,756,100 Class A Ordinary Shares at a purchase price of $1.64 per share, for an aggregate purchase price of $14.0 million. Each of the purchasers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entry into the August 3, 2026 Subscription Agreements and the transactions contemplated thereby were approved by the Company’s board of directors on July 27,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Structure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Cayman Islands exempted company incorporated on June 17, 2021. Exempted companies are Cayman Island companies conducting business mainly outside the Cayman Islands and, as such, are exempted from complying with certain provisions of the Companies Act (As Revised) of the Cayman Islands.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3571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3571875"/>
                    </a:xfrm>
                    <a:prstGeom prst="rect">
                      <a:avLst/>
                    </a:prstGeom>
                  </pic:spPr>
                </pic:pic>
              </a:graphicData>
            </a:graphic>
          </wp:inline>
        </w:drawing>
      </w:r>
      <w:r>
        <w:rPr>
          <w:caps w:val="false"/>
          <w:smallCaps w:val="false"/>
          <w:bdr w:val="single" w:sz="12" w:space="1" w:color="000000"/>
        </w:rPr>
        <w:t> </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25, 2024, U SWAP Co., Ltd., signed a cooperation agreement with Ezzy Transporter (Thailand) Company Limited to establish Greendrive Tech Co. Ltd in Thailand. On March 5, 2025, Greendrive Tech Co., Ltd. was incorporated in Thailand. As of the date of this annual report, Swap Co Ltd. holds a 70% equity interest in Greendrive Tech Co. Ltd. and Ezzy Transporter (Thailand) Company Limited holds the remaining 30% equity interest.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Regulatory Developments on Overseas-listing</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24, 2021, the China Securities Regulatory Commission, or the CSRC, issued the Provisions of the State Council on the Administration of Overseas Securities Offering and Listing by Domestic Companies (Draft for Comments) (the “Administration Provisions”), and the Provisions of the State Council on the Administration of Overseas Securities Offering and Listing by Domestic Companies (Draft for Comments) (the “Measures”), of which the public comment period ended on January 23, 2022. The Administration Provisions and Measures for overseas listings lay out specific requirements for filing documents and include unified regulation management, strengthening regulatory coordination, and cross-border regulatory cooperation. Domestic companies seeking to list abroad must carry out relevant security screening procedures if their businesses involve such supervision. Companies endangering national security are among those off-limits for overseas listings.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China Securities Regulatory Commission (the “CSRC”) released the Trial Administrative Measures of Overseas Securities Offering and Listing by Domestic Companies (the “Trial Measures”), (</w:t>
      </w:r>
      <w:r>
        <w:rPr>
          <w:rFonts w:eastAsia="Times New Roman;Times;Serif"/>
          <w:b w:val="false"/>
          <w:i w:val="false"/>
          <w:caps w:val="false"/>
          <w:smallCaps w:val="false"/>
          <w:sz w:val="20"/>
          <w:bdr w:val="single" w:sz="12" w:space="1" w:color="000000"/>
        </w:rPr>
        <w:t>《境内企业境外发行证券和上市管理试行办法》</w:t>
      </w:r>
      <w:r>
        <w:rPr>
          <w:rFonts w:ascii="Times New Roman;Times;Serif" w:hAnsi="Times New Roman;Times;Serif"/>
          <w:b w:val="false"/>
          <w:i w:val="false"/>
          <w:caps w:val="false"/>
          <w:smallCaps w:val="false"/>
          <w:sz w:val="20"/>
          <w:bdr w:val="single" w:sz="12" w:space="1" w:color="000000"/>
        </w:rPr>
        <w:t>), which has become effective on March 31, 2023. On the same date of the issuance of the Overseas Listings Rules, the CSRC circulated No.1 to No.5 Supporting Guidance Rules, the Notes on the Trial Measures, the Notice on Administration Arrangements for the Filing of Overseas Listings by Domestic Enterprises and the relevant CSRC Answers to Reporter Questions on the official website of CSRC, or collectively, the Guidance Rules and Notice. The Overseas Listings Rules, together with the Guidance Rules and Notice, reiterate the basic supervision principles as reflected in the Administration Provisions and Measures by providing substantially the same requirements for filings of overseas offering and listing by domestic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submission of initial public offerings or listing applications. The companies that have already been listed on overseas stock exchanges or have obtained the approval from overseas supervision administrations or stock exchanges for its offering and listing before March 31, 2023 and completed their overseas offering and listing prior to September 30, 2023, such as us, shall be deemed to be existing issuers (the “Existing Issuers”). Existing Issuers are not required to complete the filing procedures for listing overseas immediately, but are required to file with the CSRC for any subsequent offerings in the same overseas market within 3 working days after the offering is completed. Any failure by us to comply with such filing requirements under the Trial Measures may result in forced corrections, warnings, and fines against us and could materially hinder our ability to offer or continue to offer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neither we nor any of the PRC operating entities have been subject to any investigation, or received any notice, warning, or sanction from the CSRC or other applicable government authorities related to the offering of our securities.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Permissions from the PRC Authorities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and our PRC operating entities have received from PRC authorities all requisite licenses, permissions, and approvals needed to engage in the businesses currently conducted in the PRC, and no such permission or approval has been denied. These licenses, permissions, and approvals, which have been successfully obtained, are: (1) business licenses; and (2) auto dealer filings. However, in the future, if any additional approvals or permissions are required, we cannot assure you that any of these entities will be able to receive clearance of compliance requirements in a timely manner, or at all. Any failure to fully comply with any compliance requirements may cause our PRC operating entities, to be unable to operate their businesses in the PRC, subject them to fines, relevant businesses or operations suspension for rectification, or other sanctions.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28, 2021, thirteen governmental departments of the PRC, including the Cyberspace Administration of China (“CAC”), issued the revised Cybersecurity Review Measures, which became effective on February 15, 2022. The Cybersecurity Review Measures require that any network platform operator which possesses the personal information of at least one million users must apply for a cybersecurity review by the CAC if it intends to be listed in foreign countries. As advised by our PRC counsel, Guantao Law Firm, since we are not an online platform operator that possesses over one million users’ personal information, we are not subject to the cybersecurity review with the CAC under the Cybersecurity Review Measures. However, as uncertainties remain regarding the interpretation and implementation of these laws and regulations, we cannot assure you that we will be able to comply with such regulations in all respects, and we may be ordered to rectify or terminate any actions that are deemed illegal by regulatory authorities. We may also become subject to fines and/or other sanctions and the costs of compliance with, and other burdens imposed by such laws and regulations may limit the use and adoption of our products, which may have material adverse effects on our business, operations, and financial condition.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On July 7, 2022, the CAC published the Measures for the Security Assessment of Outbound Data Transfer (</w:t>
      </w:r>
      <w:r>
        <w:rPr>
          <w:rFonts w:eastAsia="Times New Roman;Times;Serif"/>
          <w:b w:val="false"/>
          <w:i w:val="false"/>
          <w:caps w:val="false"/>
          <w:smallCaps w:val="false"/>
          <w:sz w:val="20"/>
          <w:bdr w:val="single" w:sz="12" w:space="1" w:color="000000"/>
        </w:rPr>
        <w:t>《数据出境安全评估办法》</w:t>
      </w:r>
      <w:r>
        <w:rPr>
          <w:rFonts w:ascii="Times New Roman;Times;Serif" w:hAnsi="Times New Roman;Times;Serif"/>
          <w:b w:val="false"/>
          <w:i w:val="false"/>
          <w:caps w:val="false"/>
          <w:smallCaps w:val="false"/>
          <w:sz w:val="20"/>
          <w:bdr w:val="single" w:sz="12" w:space="1" w:color="000000"/>
        </w:rPr>
        <w:t>), which became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a data handler shall file with the State Cyberspace Administration for security assessment via the Province Cyberspace Administration if it transfers data abroad under any of the following circumstances: (i) a data handler who transfers important data abroad; (ii) a critical information infrastructure operator, or a data handler processing the personal information of more than one million individuals transfers personal information abroad; (iii) since January 1 of the previous year, a data handler cumulatively transferred abroad the personal information of more than 100,000 individuals, or the sensitive personal information of more than 10,000 individuals; or (iv) any other circumstances where the security assessment for the outbound data transfer is required by the State Cyberspace Administration. As advised by our PRC counsel, Guantao Law Firm, since none of our PRC operating entities is a data handler that transfers data abroad under any of the aforementioned circumstances, the operations of the PRC operating entities, our continued listing, and this offering are not affected by the Measures for the Security Assessment of Outbound Data Transfer.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our PRC operating entities have not received any notice from any authorities identifying the operating entities as a CIIO or requiring the operating entities to go through cybersecurity review or network data security review by the CAC, nor have our PRC operating entities been involved in any investigations on cybersecurity review initiated by the CAC or related governmental regulatory authorities. In addition, our PRC operating entities have not received any inquiry, notice, warning, or sanction in such respect. We believe that our PRC operating entities are in compliance with the aforementioned regulations and policies. However, our PRC operating entities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the PRC operating entities, which may have material adverse effect on the PRC operating entities’ business, financial condition or results of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on February 17, 2023, the CSRC promulgated the Trial Measures and five supporting guidelines, which took effect on March 31, 2023. Pursuant to the Trial Measures, PRC domestic companies that seek to offer or list securities overseas, both directly and indirectly, shall file with the CSRC pursuant to the requirements of the Trial Measures within three working days following submission of relevant application for listing or completion of any subsequent offerings. If a domestic company fails to complete required filing procedures or conceals any material facts or falsifies any major content in its filing documents, such domestic company may be subject to administrative penalties, such as an order to rectify, warnings, and fines, and its controlling shareholders, actual controllers, and the person directly in charge and other directly liable persons may also be subject to administrative penalties, such as warnings and fines. As of the date of this prospectus, neither we nor any of the PRC operating entities have been subject to any investigation, or received any notice, warning, or sanction from the CSRC or other applicable government authorities related to the offering of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believe that, except the filing procedures with the CSRC pursuant to the Trial Measures and supporting guidelines, neither the Company, nor the PRC operating entities, will be required to obtain permission from any Chinese authorities to offer our securities based on PRC laws and regulations currently in effect, and neither we nor the PRC operating entities have been denied such permission by any Chinese authorities. However, we cannot assure you that the PRC regulatory agencies would take the same view as we do, and there is no assurance that our PRC operating entities will always be able to successfully update or renew the licenses or permits required for the relevant business in a timely manner or that these licenses or permits are sufficient to conduct all of their present or future business. If our PRC operating entities (i) do not receive or maintain required permissions or approvals, (ii) inadvertently conclude that such permissions or approvals are not required, or (iii) applicable laws, regulations, or interpretations change and our PRC operating entities, are required to obtain such permissions or approvals in the future, they could be subject to fines, legal sanctions, or an order to suspend their relevant services, which may materially and adversely affect our financial condition and results of operations and cause our securities to significantly decline in value or become worthless.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Distributions and Dividends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Investing in our Class A Ordinary Shares involves significant risks. Before making an investment in our Class A Ordinary Shares, you should carefully consider all of the information in this prospectus , the risks described under “Risk Factors” in the applicable prospectus supplement and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“Incorporation of Documents by Reference” and “Where You Can Find Additional Information” of this prospectus. Below please find a summary of the principal risks we face, organized under relevant headings.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Relating to Doing Business in China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doing business in China include, but are not limited to, the following:</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Changes in China’s economic, political or social conditions, laws, regulations or governmental policies could have a material adverse effect on our business, financial conditions and results of operations. PRC laws and regulations governing our current business operations are sometimes vague and uncertain and any changes in such laws and regulations may impair our ability to operate profitably (see page 11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Substantial uncertainties in the promulgation, interpretation and enforcement of PRC laws and regulations could limit the legal protections available to you and us (see page 12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 (see page 12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become subject to a variety of laws and regulations in the PRC regarding privacy, data security, cybersecurity, and data protection (see page 13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M&amp;A Rules and certain other PRC regulations may make it more difficult for us to pursue growth through acquisitions (see page 18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 (see page 21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Fluctuations in exchange rates could have a material and adverse effect on our results of operations and the value of your investment (see page 23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Governmental control of currency conversion may limit our ability to utilize our income effectively and affect the value of your investment (see page 23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 (see page 24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 (see page 25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Changes in international trade policies, or the escalation of tensions in international relations, particularly with regard to China, may adversely impact our business and operating results (see page 26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Trade disputes or the imposition of tariffs on imports and exports could affect international trade, and therefore could adversely affect our business (see page 27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Relating to Our Business and Industry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business and industry include,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incurred substantial losses in the past and may incur losses in the future. There is substantial doubt about our ability to continue as a going concern (see page 28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limited operating history in an emerging and fast-growing market, and our historical financial and operating performance may not be indicative of our future prospects and results of operations (see page 28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505" w:type="dxa"/>
        <w:jc w:val="left"/>
        <w:tblInd w:w="0" w:type="dxa"/>
        <w:shd w:fill="FFFFFF" w:val="clear"/>
        <w:tblLayout w:type="fixed"/>
        <w:tblCellMar>
          <w:top w:w="0" w:type="dxa"/>
          <w:left w:w="0" w:type="dxa"/>
          <w:bottom w:w="0" w:type="dxa"/>
          <w:right w:w="0" w:type="dxa"/>
        </w:tblCellMar>
      </w:tblPr>
      <w:tblGrid>
        <w:gridCol w:w="75"/>
        <w:gridCol w:w="170"/>
        <w:gridCol w:w="92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2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face intense competition and may not be able to compete effectively (see page 29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not be able to effectively manage our growth, control expenses or implement business strategies, any of which events may cause our PRC subsidiaries to be unable to provide services or deliver products with premium quality or compete effectively (see page 30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harm to our brands or reputation or any damage to the reputation of the third parties with whom we collaborate or failure to enhance brand recognition could have a material adverse effect on our results of operations and growth prospects (see page 30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not be able to prevent others from unauthorized use of our intellectual property, which could harm our business and competitive position (see page 31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Some of our patent applications on UOTTA technology are currently pending, we cannot assure you that such patents will be approved, and we may not be able to prevent others from developing or exploiting competing technologies, which could have a material and adverse effect on our business, results of operations, financial condition and prospects (see page 32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significant disruption in our IT systems, including events beyond our control, or disruptions in our business partners’ IT systems, could have a material and adverse effect on our business and financial condition (see page 33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 (see page 34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business will be harmed if overall consumer demand suffers from a severe or sustained economic downturn or if there is an oversupply in the automobile industry, the EV industry or the battery-swapping station sector (see page 35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520" w:type="dxa"/>
        <w:jc w:val="left"/>
        <w:tblInd w:w="0" w:type="dxa"/>
        <w:shd w:fill="FFFFFF" w:val="clear"/>
        <w:tblLayout w:type="fixed"/>
        <w:tblCellMar>
          <w:top w:w="0" w:type="dxa"/>
          <w:left w:w="0" w:type="dxa"/>
          <w:bottom w:w="0" w:type="dxa"/>
          <w:right w:w="0" w:type="dxa"/>
        </w:tblCellMar>
      </w:tblPr>
      <w:tblGrid>
        <w:gridCol w:w="75"/>
        <w:gridCol w:w="170"/>
        <w:gridCol w:w="927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2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seasonality of the automobile industry impacts our operating results (see page 36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Vehicle Sourcing Business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vehicle sourcing business,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vehicle sourcing network is crucial to the success of our business; if we fail to further develop or maintain our business relationships with sourcing partners at a sustainable cost, or at all, our business, financial condition and prospects would be materially and adversely affected (see page 38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commissions from our sourcing services may decline in the future, and any material decrease in such commissions could harm our business, financial condition and results of operations (see page 39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face intense competition in the sourcing market and may not be able to compete effectively (see page 39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Uncertainties relating to the growth of the Chinese automotive markets in general could adversely affect our sourcing business and results of operations (see page 39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655" w:type="dxa"/>
        <w:jc w:val="left"/>
        <w:tblInd w:w="0" w:type="dxa"/>
        <w:shd w:fill="FFFFFF" w:val="clear"/>
        <w:tblLayout w:type="fixed"/>
        <w:tblCellMar>
          <w:top w:w="0" w:type="dxa"/>
          <w:left w:w="0" w:type="dxa"/>
          <w:bottom w:w="0" w:type="dxa"/>
          <w:right w:w="0" w:type="dxa"/>
        </w:tblCellMar>
      </w:tblPr>
      <w:tblGrid>
        <w:gridCol w:w="75"/>
        <w:gridCol w:w="170"/>
        <w:gridCol w:w="941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business is sensitive to changes in the prices of new and used vehicles (see page 40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rely on third-party carriers to transport vehicles to our customers, and they are subject to associated business risks and costs and with those of the transportation industry, generally, many of which risks and costs would be out of our control (see page 40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shd w:fill="FFFFFF" w:val="clear"/>
        </w:rPr>
      </w:pPr>
      <w:r>
        <w:rPr>
          <w:rFonts w:ascii="Times New Roman;Times;Serif" w:hAnsi="Times New Roman;Times;Serif"/>
          <w:b/>
          <w:i/>
          <w:caps w:val="false"/>
          <w:smallCaps w:val="false"/>
          <w:sz w:val="20"/>
          <w:bdr w:val="single" w:sz="12" w:space="1" w:color="000000"/>
          <w:shd w:fill="FFFFFF" w:val="clear"/>
        </w:rPr>
        <w:t>Risks Related to UOTTA-powered EV and Battery-Swapping Station Business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UOTTA-powered EV and Battery-Swapping Station business include, but are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encounter difficulties in entering into the EV market, which may materially and adversely affect our growth and business prospects (see page 40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future growth is dependent upon the demand for, and upon consumers’ willingness to adapt to, EVs and battery-swapping stations as a power solution (see page 41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success depends on our ability to successfully develop, market and sell UOTTA-powered EVs and battery-swapping stations (see page 42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UOTTA-powered EVs and battery-swapping stations do not meet the expectations of customers and users, our business, financial condition and competitive position will be materially and adversely affected (see page 42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encounter difficulty promoting and marketing UOTTA-powered EVs and battery-swapping stations because of the lack of unified industry standards on EV batteries (see page 42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reliance on third parties for manufacturing UOTTA-powered commercial-use EVs and battery-swapping stations increases the risk that the supply of our products may become limited or interrupted or may not be of satisfactory quality and quantity (see page 43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we fail to comply with regulatory requirements, our business could be adversely affected (see page 44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fail to maintain our strategic partnerships with auto manufacturers to jointly develop UOTTA-powered EVs (see page 44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depend on third parties for the supply of components and parts to manufacture battery-swapping stations (see page 44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could experience cost increases or disruptions in supply of raw materials or other components used in the manufacturing of battery-swapping stations (see page 45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Adverse conditions affecting one or more of our cooperating automobile manufacturers, battery-swapping station manufacturers and suppliers may negatively impact our business, financial condition and prospects (see page 45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experienced, and may continue to experience, delays in the development and launch of UOTTA-powered EV models in collaboration with our cooperating manufacturers (see page 45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UOTTA-powered EVs we jointly develop with cooperating automobile manufacturers are subject to motor vehicle safety standards and the failure to satisfy such mandated safety standards would have a material adverse effect on our business and operating results (see page 46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construction and operation of our battery-swapping station manufacturing facilities are subject to regulatory approvals or filings and may be subject to changes, delays, cost overruns or may not produce expected benefits (see page 46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unavailability, reduction or elimination of government and economic incentives or government policies which are favorable for EVs, domestically produced vehicles or battery-swapping stations could have a material adverse effect on our business, financial condition and prospects (see page 46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 and the Trading Market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Class A Ordinary Shares and the trading market include,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active trading market for our Class A Ordinary Shares may not develop or sustain, and the trading price for our ordinary shares may fluctuate significantly (see page 47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trading price of our Class A Ordinary Shares has been, and is likely to continue to be, volatile, which could result in substantial losses to investors (see page 47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may experience extreme stock price volatility unrelated to our actual or expected operating performance, financial condition or prospects, making it difficult for prospective investors to assess the rapidly changing value of our Class A Ordinary Shares (see page 48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sale or availability for sale of substantial amounts of our Class A Ordinary Shares could adversely affect their market price (see page 49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Because we do not expect to pay dividends in the foreseeable future, you must rely on price appreciation of our Class A Ordinary Shares for return on your investment (see page 49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incur substantially increased costs as a public company (see page 50 of </w:t>
            </w:r>
            <w:r>
              <w:rPr>
                <w:rFonts w:ascii="Times New Roman;Times;Serif" w:hAnsi="Times New Roman;Times;Serif"/>
                <w:sz w:val="20"/>
                <w:shd w:fill="FFFFFF" w:val="clear"/>
              </w:rPr>
              <w:t>the 2025 Annual Report</w:t>
            </w:r>
            <w:r>
              <w:rPr>
                <w:rFonts w:ascii="Times New Roman;Times;Serif" w:hAnsi="Times New Roman;Times;Serif"/>
                <w:sz w:val="20"/>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we fail to maintain our Nasdaq listing, we may face increased regulatory burdens and reduced investor protections on over-the-counter markets (see page 51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Nasdaq has adopted a new $5 million minimum market value continued listing requirement that could result in immediate suspension and delisting of our Class A Ordinary Shares without any cure period or opportunity to regain compliance (see page 51 of </w:t>
            </w:r>
            <w:r>
              <w:rPr>
                <w:rFonts w:ascii="Times New Roman;Times;Serif" w:hAnsi="Times New Roman;Times;Serif"/>
                <w:sz w:val="20"/>
                <w:shd w:fill="FFFFFF" w:val="clear"/>
              </w:rPr>
              <w:t>this prospectus</w:t>
            </w:r>
            <w:r>
              <w:rPr>
                <w:rFonts w:ascii="Times New Roman;Times;Serif" w:hAnsi="Times New Roman;Times;Serif"/>
                <w:sz w:val="20"/>
              </w:rPr>
              <w:t>).</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Geopolitical conflicts involving Iran, military actions in the Middle East, and the war in Ukraine may adversely affect global economic conditions and cause significant volatility in the trading price of our Class A Ordinary Shares (see page 52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Capital Structure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Capital Structure,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dual class share structure with different voting rights may adversely affect the value and liquidity of the Class A Ordinary Shares (see page 52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dual class share structure with different voting rights will limit your ability to influence corporate matters and could discourage others from pursuing any change of control transactions that holders of our Class A Ordinary Shares may view as beneficial (see page 52 of </w:t>
            </w:r>
            <w:r>
              <w:rPr>
                <w:rFonts w:ascii="Times New Roman;Times;Serif" w:hAnsi="Times New Roman;Times;Serif"/>
                <w:sz w:val="20"/>
                <w:shd w:fill="FFFFFF" w:val="clear"/>
              </w:rPr>
              <w:t>the 2025 Annual Report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18/F, building 3, Science and Technology Industrial Park, Yijiang District, Wuhu City, Anhui Province (</w:t>
      </w:r>
      <w:r>
        <w:rPr>
          <w:rFonts w:eastAsia="Times New Roman;Times;Serif"/>
          <w:b w:val="false"/>
          <w:i w:val="false"/>
          <w:caps w:val="false"/>
          <w:smallCaps w:val="false"/>
          <w:sz w:val="20"/>
          <w:bdr w:val="single" w:sz="12" w:space="1" w:color="000000"/>
        </w:rPr>
        <w:t>安徽省芜湖市弋江区科技产业园</w:t>
      </w:r>
      <w:r>
        <w:rPr>
          <w:rFonts w:ascii="Times New Roman;Times;Serif" w:hAnsi="Times New Roman;Times;Serif"/>
          <w:b w:val="false"/>
          <w:i w:val="false"/>
          <w:caps w:val="false"/>
          <w:smallCaps w:val="false"/>
          <w:sz w:val="20"/>
          <w:bdr w:val="single" w:sz="12" w:space="1" w:color="000000"/>
        </w:rPr>
        <w:t>3</w:t>
      </w:r>
      <w:r>
        <w:rPr>
          <w:rFonts w:eastAsia="Times New Roman;Times;Serif"/>
          <w:b w:val="false"/>
          <w:i w:val="false"/>
          <w:caps w:val="false"/>
          <w:smallCaps w:val="false"/>
          <w:sz w:val="20"/>
          <w:bdr w:val="single" w:sz="12" w:space="1" w:color="000000"/>
        </w:rPr>
        <w:t>号楼</w:t>
      </w:r>
      <w:r>
        <w:rPr>
          <w:rFonts w:ascii="Times New Roman;Times;Serif" w:hAnsi="Times New Roman;Times;Serif"/>
          <w:b w:val="false"/>
          <w:i w:val="false"/>
          <w:caps w:val="false"/>
          <w:smallCaps w:val="false"/>
          <w:sz w:val="20"/>
          <w:bdr w:val="single" w:sz="12" w:space="1" w:color="000000"/>
        </w:rPr>
        <w:t>18</w:t>
      </w:r>
      <w:r>
        <w:rPr>
          <w:rFonts w:eastAsia="Times New Roman;Times;Serif"/>
          <w:b w:val="false"/>
          <w:i w:val="false"/>
          <w:caps w:val="false"/>
          <w:smallCaps w:val="false"/>
          <w:sz w:val="20"/>
          <w:bdr w:val="single" w:sz="12" w:space="1" w:color="000000"/>
        </w:rPr>
        <w:t>层</w:t>
      </w:r>
      <w:r>
        <w:rPr>
          <w:rFonts w:ascii="Times New Roman;Times;Serif" w:hAnsi="Times New Roman;Times;Serif"/>
          <w:b w:val="false"/>
          <w:i w:val="false"/>
          <w:caps w:val="false"/>
          <w:smallCaps w:val="false"/>
          <w:sz w:val="20"/>
          <w:bdr w:val="single" w:sz="12" w:space="1" w:color="000000"/>
        </w:rPr>
        <w:t>), People’s Republic of China. Our telephone number at this address is 00852-6859-3598. Our registered office in the Cayman Islands is located at the offices of Maples Corporate Services Limited at PO Box 309, Ugland House, Grand Cayman, KY-1104, Cayman Islands.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Investors should submit any inquiries to the address and telephone number of our principal executive offices. Our corporate website is http://www.upincar.com/. The information contained on our websites is not a part of this prospectus. Our agent for service of process in the United States is located at 122 East 42nd St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that contains reports, proxy, and information statements, and other information regarding issuers that file electronically with the SEC using its EDGAR system.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pStyle w:val="TextBody"/>
        <w:bidi w:val="0"/>
        <w:spacing w:before="0" w:after="0"/>
        <w:ind w:left="0" w:right="0" w:firstLine="40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in the assessment of our internal control over financial reporting;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periodic reports, proxy statements and registration statements;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 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ind w:left="0" w:right="0" w:firstLine="40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in the assessment of our internal control over financial reporting;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periodic reports, proxy statements and registration statements;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w:t>
      </w:r>
    </w:p>
    <w:p>
      <w:pPr>
        <w:pStyle w:val="TextBody"/>
        <w:bidi w:val="0"/>
        <w:spacing w:before="0" w:after="0"/>
        <w:ind w:left="0" w:right="0" w:firstLine="40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J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following risk, the risks described under “Risk Factors” in the applicable prospectus supplement and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“Incorporation of Documents by Reference” and “Where You Can Find Additional Information”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adopted a new $5 million minimum market value continued listing requirement that could result in immediate suspension and delisting of our Class A Ordinary Shares without any cure period or opportunity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Market and the Nasdaq Capital Market to maintain a minimum market value of listed securities of at least $5 million. On July 22, 2026, the SEC approved the new rules. Under these rules, if our market value falls below $5 million for 30 consecutive business days, our Class A Ordinary Shares would be immediately suspended from trading and delisted from Nasdaq, with no cure period, no compliance period, and no stay of suspension during any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rule represents a fundamental departure from Nasdaq’s traditional approach to listing deficiencies. Unlike other continued listing requirements that provide companies with 180 days or more to regain compliance, the market value requirement results in immediate and irreversible consequences. While we could request a hearing before a Nasdaq Listing Qualifications Hearings Panel (the “Hearings Panel”) to appeal a delisting determination, such a request would not prevent the immediate suspension of our Class A Ordinary Shares from trading. Furthermore, the Hearings Panel would have extremely limited discretion and could only reverse the delisting decision if it determines that the initial determination was in error, and the Hearings Panel could not consider evidence that we had subsequently regained compliance or grant us additional time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new rules reflect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our Class A Ordinary Shares have experienced price volatility, there is a risk of our market value falling below $5 million. Our market value is calculated as our consolidated closing bid price multiplied by our total of listed securities. Factors that could cause our market value to fall below the threshold include continued stock price decline, lack of investor interest, adverse market conditions, negative developments in our business operations, dilutive financing transactions, or broader market volatility affecting microcap companies. If we are simultaneously addressing our existing minimum bid price deficiency, we could face multiple overlapping listing threats that compound the risk of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new rules are part of a broader trend of Nasdaq tightening listing standards for small issuers, including recent rules granting Nasdaq discretion to deny initial listings based on susceptibility to manipulative trading and other market value-based requirements. This increasingly stringent regulatory environment creates greater challenges for microcap companies like us to maintain public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the required market value of at least $5 million for 30 consecutive business days, our Class A Ordinary Shares would be immediately suspended and delisted from Nasdaq with no opportunity to cure the deficiency, which would have severe adverse consequences for our business, our ability to raise capital, and the liquidity and value of our shareholders’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_006"/>
      <w:bookmarkEnd w:id="7"/>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offer and sell any or all of their Class A Ordinary Shares covered by this prospectus in one or more offerings. The Class A Ordinary Shares offered under this prospectus may be offered in amounts, at prices, and on terms to be determined at the time of sale. We will keep the registration statement of which this prospectus is a part effective until such time as all of the Class A Ordinary Shares covered by this prospectus have been disposed of pursuant to and in accordance with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J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our Class A Ordinary Shares by the Selling Shareholders. We have agreed to pay all expenses relating to registering the Class A Ordinary Shares covered by this prospectus. The Selling Shareholders will pay any brokerage commissions and/or similar charges incurred in connection with the sale of the Class A Ordinary Shares covered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J_008"/>
      <w:bookmarkEnd w:id="9"/>
      <w:r>
        <w:rPr>
          <w:rFonts w:ascii="Times New Roman;Times;Serif" w:hAnsi="Times New Roman;Times;Serif"/>
          <w:b/>
          <w:i w:val="false"/>
          <w:caps w:val="false"/>
          <w:smallCaps w:val="false"/>
          <w:sz w:val="20"/>
        </w:rPr>
        <w:t>DESCRIPTION OF SHARE CAPITAL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memorandum and articles of association, as amended from time to time, are summaries and do not purport to be complete. Reference is made to our Third Amended and Restated Memorandum and Articles of Association, copies of which are filed as an exhibit to the registration statement of which this prospectus is a part (and which is referred to in this section as our “Third Amended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(As Revised) of the Cayman Islands (the “Cayman Companies Act”) on June 17, 2021.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given for a period of up to 30 years);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US$50,000 divided into (i) 399,941,181.2 Class A Ordinary Shares and (ii) 100,058,818.8 Class B Ordinary Shares. Holders of Class A Ordinary Shares and Class B Ordinary Shares have the same rights except for voting and conversion rights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fully paid and non-assessable. 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Third Amended Articles of Association regarding redemption and purchase of the shares, the directors have general and unconditional authority to allot, grant rights or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Shares. No share may be issued at a discount except in accordance with the provisions of the Cayman Companies Act. The directors may refuse to accept any application for shares, and may accept any application in whole or in part, for any reason or for no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Class A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one hundred (100) votes on all matters subject to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any rights and restrictions of any other class of shares, our board of directors may, from time to time, declare dividends on the shares issued and authorize payment of the dividends out of our lawfully available funds. No dividends shall be declared by the board out of our company except the following: </w:t>
      </w:r>
    </w:p>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75"/>
        <w:gridCol w:w="170"/>
        <w:gridCol w:w="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share premium account,” which represents the excess of the price paid to our company on issue of its shares over the par or “nominal” value of those shares, which is similar to the U.S. concept of additional paid in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 dividend shall bear interest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“UCAR.”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Ordinary Shares is Transhare Corporation, at Bayside Center 1, 17755 North U.S. Highway 19, Suite #140, Clearwater, FL 33764.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and restrictions attaching to any of our shares:</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shareholders may, by ordinary resolution, declare dividends but no such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when paying dividends to shareholders, may make such payment wholly or partly in cash and/or in specie. No dividend shall bear interest against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(i) on a show of hands, every shareholder present in person or by proxy (or, if a corporation or other non-natural person, by its duly authorized representative or proxy) shall, at a general meeting of our Company, each have one vote; and (ii) on a poll, every shareholder present in pension or by proxy (or, if a corporation or other non-natural person, by its duly authorized representative or proxy) shall have one vote for each Class A Ordinary Share, and 100 votes for each Class B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Class B Ordinary Shares are convertible into Class A Ordinary Shares at any time after issuance at the option of the holder, and each one Class B Ordinary Share is convertible into one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subject to any rights or restrictions for the time being attached to any class of shares, the rights attaching to any class of shares may only be materially adversely varied with the consent in writing of the holders of two-thirds of the issued shares of that class, or with the sanction of a special resolution passed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any rights or restrictions for the time being attached to any class of shares, the rights conferred on the holders of the shares of any class shall not be deemed to be materially adversely varied by,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creation, allotment, or issue of further shares ranking pari passu with or subsequent to them or the redemption or purchase of any shares of any class by us. The rights of the holders of our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reduce our share capital and any capital redemption reserve in any manner authorized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and each shareholder shall (subject to receiving at least 14 calendar days’ notice specifying the time or times of payment),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of eight percent per annum. The directors may, at their discretion,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every share (whether or not fully paid) for all amounts (whether presently payable or not) payable at a fixed time or called in respect of that share. We also have a first and paramount lien on every share registered in the name of a person indebted or under liability to us (whether he is the sole registered holder of a share or one of two or more joint holders). The lien is for all amounts owing to us by the shareholder or the shareholder’s estate (whether or not presently payable). At any time the directors may declare a share to be wholly or in part exempt from the lien on shares provisions of our Third Amended Articles of Association. Our lien on a share extends to any amount payable in respect of it, including but not limited to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we have a lien. However, no sale will be made unless an amount in respect of which the lien exists is presently payable or until the expiration of 14 calendar days after a notice in writing, demanding payment of such part of the amount in respect of which the lien exists as is presently payable has been given to the registered holder of the share, or the persons entitled thereto by reason of his death 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after a period of six calendar years from the date of declaration of such dividend may be forfeited by the board of directors and, if so forfeited, shall revert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or installment of a call in respect of partly paid shares on the day appointed for payment, the directors may serve a notice on the shareholder requiring payment of the unpaid call or installment, together with any interest which may have accrued. The notice must name a further day (not earlier than the expiration of 14 calendar days from the date of the notice) on or before which the payment required by the notice is to be made, and must state that in the event of non-payment at or before the time appointed,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of any such notice are not complied with, the directors may, before the payment required by the notice has been made, resolve that any share in respect of which that notice has been given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or otherwise disposed of on such terms and in such manner as the directors think fit and at any time before a sale or disposition the forfeiture may be cancelled on such terms as the directors think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forfeited, but his liability shall cease if and when we receive payment in full of the unpaid amount on the shares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in writing made by a director that a share has been duly forfeited on a date stated in the certificate shall be conclusive evidence of the facts in the declaration as against all persons claiming to be entitled to the particular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accept the surrender for no consideration of any fully paid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our articles of association, we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are liable to be redeemed, at our option or at the option of the shareholder holding those redeemable shares, in the manner and upon the terms as may be determined, before the issue of those shares, by either the directors or by the shareholders by special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our own shares (including any redeemable shares) on the terms and in the manner which have been approved by the directors or by the shareholders by ordinary resolution or are otherwise authorized by our articles of association;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 payment in respect of the redemption or purchase of our own shares in any manner permitted by the Cayman Companies Act, including out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fee related to the transfer has been paid to us;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three calendar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10 calendar days’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our register of members may not be closed, for more than 30 calendar days in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(save for our memorandum and articles of association, our register of mortgages and charges and special resolutions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limited by shares, we are not obligated by the Cayman Companies Act to call shareholders’ annual general meetings; accordingly, we may, but shall not be obliged to, in each calendar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chairman or a majority of our directors may call general meetings and they must on a shareholders’ requisition forthwith proceed to convene an extraordinary general meeting of our Company. A shareholders’ requisition is a requisition of shareholders holding at the date of deposit of the requisition shares which carry in aggregate not less than one-third of all votes attaching to our issued and outstanding shares that as at the date of the deposit carry the right to vote at our general meetings. The requisition must state the objects of the meeting and must be signed by the requisitionists and deposited at our registered office and may consist of several documents in like form, each signed by one or more requisitionist. If there are no directors as at the date of the deposit of the shareholders’ requisition or if the directors do not within 21 calendar days from the date of the date of the deposit of the requisition duly proceed to convene a general meeting to be held within a further 21 calendar days, the requisitionists, or any of them representing more than one-half of the total voting rights of all of them, may themselves convene a general meeting, but any meeting so convened must not be held after the expiration of two calendar months after the expiration of the said 21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mentioned in our articles of association or in such other manner if any as may be prescribed by our Company. Notwithstanding the foregoing, a general meeting will, whether or not the notice specified in our articles of association has been given and whether or not the provisions of our articles of association regarding general meetings have been complied with, be deemed to have been duly convened if it is so agreed: (a) in the case of an annual general meeting, by all the shareholders (or their proxies) entitled to attend and vote thereat; and (b) in the case of an extraordinary general meeting, by two-thirds of the shareholders having a right to attend and vote at the meeting, present in person or by proxy or, in the case of a corporation or other non-natural person, by its duly authorized representative or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except for the appointment of a chairman for the meeting, may be transacted at any general meeting unless a quorum of shareholders is present at the time when the meeting proceeds to business. One or more shareholders holding shares which carry in aggregate (or representing by proxy) not less than one-third of all votes attaching to all shares in issue and entitled to vote at such general meeting, present in person or by proxy or, if a corporation or other non-natural person, by its duly authorized representative, shall be a quorum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general meeting, a quorum is not present, the meeting will be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14 calendar days or more, notice of the adjourned meeting shall be given in accordance with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any shareholder holding not less than 10 per cent of the votes attaching to the shares present in person or by proxy, and unless a poll is so demanded, a declaration by the chairman of the meeting that a resolution has, on a show of hands, been carried, or carried unanimously, or by a particular majority, or lost, and an entry to that effect in the book of the proceedings of our Company, shall be conclusive evidence of the fact,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submitted to a general meeting shall be decided by an ordinary resolution, except where a greater majority is required by our articles of association or by the Cayman Companies Act. In the case of an equality of votes, whether on a show of hands or on a poll, the chairman of the meeting at which the show of hands takes place or at which the poll is demanded, shall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our Company in general meeting, we are required to have a minimum of three directors and the exact number of directors will be determined from time to time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The Board may, by the affirmative vote of a simple majority of the remaining directors present and voting at a Board meeting, appoint any person as ad, to fill a casual vacancy on the Board or as an addition to the existing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the directors may be determined by the directors or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shares in our Company by way of qualification. A director who is not a shareholder of our Company is nevertheless entitled to attend and speak at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Each director whose term of office expires will be eligible for re-election at a meeting of the shareholders or re-appointment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 notwithstanding anything in our articles of association or in any agreement between our Company and such director (but without prejudice to any claim for damages under such agreement). A vacancy on the board of directors created by the removal of a director under the previous sentence may be filled by ordinary resolution or by the affirmative vote of a simple majority of the remaining directors present and voting at a meeting of the board of directors. The notice of any meeting at which a resolution to remove a director shall be proposed or voted upon must contain a statement of the intention to remove that director and such notice must be served on that director not less than 10 calendar days before the meeting. Such director is entitled to attend the meeting and be heard.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will be vacated if the director: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becomes bankrupt or makes any arrangement or composition with his creditors;</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dies or is found to be or becomes of unsound mind;</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resigns his office by notice in writing to us;</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special leave of absence from the board of directors, is absent from meetings of the board of directors for three consecutive meetings and the board of directors resolves that his office be vacated; or</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removed from office pursuant to any other provision of our articles of association.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compensation committee and the nominating and corporate governance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Third Amended and Restated Memorandum and Articles of Association, our business shall be managed by the directors, who may exercise all our powers. No resolution passed by the shareholders in general meeting shall invalidate any prior act of the directors that would have been valid if that resolution had not been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 Our board of directors have established an audit committee, a compensation committee, and a 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committees, local boards, or agencies for managing any of our affairs and delegate to it any of the powers, authorities, and discretions for the time being vested in the directors (with power to sub-delegate) and may appoint any natural persons to be members of a committee, local board, or agency or to be managers or agents, and may fix their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otherwise appoint any company, firm, or person or body of persons, to be our attorney or attorneys or authorized signatory for such purposes and with such powers, authorities, and discretion (not exceeding those vested in or exercisable by the directors under our articles of association) and for such period and subject to such conditions as they may think fit.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our powers to raise or borrow money and to mortgage or charge our undertaking, property and assets (present and future) and uncalled capital or any part thereof, to issue debentures, debenture stock, bonds, and other securities, whether outright or as collateral security for any of our or any third party’s debts, liabilities, or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transaction or proposed contract or transaction with our Company shall declare the nature of his interest at a meeting of the directors. A director may, as a director,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director may,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the directors may: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to capitalize an amount standing to the credit of reserves (including a share premium account capital redemption reserve and profit and loss account), which is available for distribution;</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appropriate the sum resolved to be capitalized to the shareholders in proportion to the nominal amount of shares (whether or not fully paid) held by them respectively and apply that sum on their behalf in or towards: (i) paying up the amounts (if any) for the time being unpaid on shares held by them respectively, or (ii) paying up in full unissued shares or debentures of a nominal amount equal to that sum, 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these purposes only be applied in paying up unissued shares to be allotted to shareholders credited as fully paid;</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a person to enter (on behalf of all the shareholders concerned) into an agreement with us providing for either: (i) the allotment to the shareholders respectively, credited as fully paid, of shares or debentures to which they may be entitled on the capitalization, or (ii) the payment by us on behalf of the shareholders (by the application of their respective proportions of the reserves resolved to be capitalized) of the amounts or part of the amounts remaining unpaid on their existing shares, and any such agreement made under this authority being effective and binding on all those shareholders; and</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generally do all acts and things required to give effect to the resolutions.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any other sanction required by the Cayman Companies Act, pass a special resolution allowing the liquidator to do either or both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amongst the shareholders in specie or in kind the whole or any part of our assets and, for that purpose, value any assets and determine how the division shall be carried out as between the shareholders or different classes of shareholders;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the whole or any part of the assets in trustees upon such trusts for the benefit of the shareholders as the liquidator, with the like sanction, thinks fit, but so that no shareholder will be compelled to accept any asset upon which there is a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and,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3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 Upon the completion of our offerings,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Grand Court of the Cayman Islands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7"/>
        <w:gridCol w:w="60"/>
        <w:gridCol w:w="4973"/>
        <w:gridCol w:w="60"/>
        <w:gridCol w:w="3725"/>
      </w:tblGrid>
      <w:tr>
        <w:trPr/>
        <w:tc>
          <w:tcPr>
            <w:tcW w:w="138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both"/>
              <w:rPr/>
            </w:pPr>
            <w:r>
              <w:rPr/>
              <w:t> </w:t>
            </w:r>
          </w:p>
        </w:tc>
        <w:tc>
          <w:tcPr>
            <w:tcW w:w="49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Delaware </w:t>
            </w:r>
          </w:p>
        </w:tc>
        <w:tc>
          <w:tcPr>
            <w:tcW w:w="60" w:type="dxa"/>
            <w:tcBorders/>
            <w:vAlign w:val="center"/>
          </w:tcPr>
          <w:p>
            <w:pPr>
              <w:pStyle w:val="TableContents"/>
              <w:bidi w:val="0"/>
              <w:spacing w:before="0" w:after="283"/>
              <w:jc w:val="both"/>
              <w:rPr/>
            </w:pPr>
            <w:r>
              <w:rPr/>
              <w:t> </w:t>
            </w:r>
          </w:p>
        </w:tc>
        <w:tc>
          <w:tcPr>
            <w:tcW w:w="372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38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Title of Organizational Documents </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Memorandum and Articles of Association</w:t>
            </w:r>
          </w:p>
        </w:tc>
      </w:tr>
      <w:tr>
        <w:trPr/>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283"/>
              <w:ind w:left="0" w:right="0" w:hanging="180"/>
              <w:jc w:val="both"/>
              <w:rPr/>
            </w:pPr>
            <w:r>
              <w:rPr/>
              <w:t> </w:t>
            </w:r>
          </w:p>
        </w:tc>
      </w:tr>
      <w:tr>
        <w:trPr/>
        <w:tc>
          <w:tcPr>
            <w:tcW w:w="138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matter of Cayman Islands law, a director of a Cayman Islands company is in the position of a fiduciary with respect to the company and therefore it is considered that he owes the following duties to the company—a duty to act </w:t>
            </w:r>
            <w:r>
              <w:rPr>
                <w:rFonts w:ascii="Times New Roman;Times;Serif" w:hAnsi="Times New Roman;Times;Serif"/>
                <w:b w:val="false"/>
                <w:i/>
                <w:caps w:val="false"/>
                <w:smallCaps w:val="false"/>
                <w:sz w:val="20"/>
                <w:shd w:fill="FFFFFF" w:val="clear"/>
              </w:rPr>
              <w:t>bona fide</w:t>
            </w:r>
            <w:r>
              <w:rPr>
                <w:rFonts w:ascii="Times New Roman;Times;Serif" w:hAnsi="Times New Roman;Times;Serif"/>
                <w:b w:val="false"/>
                <w:i w:val="false"/>
                <w:caps w:val="false"/>
                <w:smallCaps w:val="false"/>
                <w:sz w:val="20"/>
                <w:shd w:fill="FFFFFF" w:val="clear"/>
              </w:rPr>
              <w:t xml:space="preserve"> in the best interests of the company, a duty not to make a profit </w:t>
            </w:r>
            <w:r>
              <w:rPr>
                <w:rFonts w:ascii="Times New Roman;Times;Serif" w:hAnsi="Times New Roman;Times;Serif"/>
                <w:b w:val="false"/>
                <w:i w:val="false"/>
                <w:caps w:val="false"/>
                <w:smallCaps w:val="false"/>
                <w:sz w:val="20"/>
              </w:rPr>
              <w:t>based on his or her position as director (unless the company permits him to do so) and a duty not to put himself in a position where the interests of the company conflict with his or her personal interest or his or her duty to a third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3450"/>
        <w:gridCol w:w="60"/>
        <w:gridCol w:w="5124"/>
      </w:tblGrid>
      <w:tr>
        <w:trPr/>
        <w:tc>
          <w:tcPr>
            <w:tcW w:w="1511"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Companies Act has no equivalent provision to 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willful default.</w:t>
            </w:r>
          </w:p>
        </w:tc>
      </w:tr>
      <w:tr>
        <w:trPr/>
        <w:tc>
          <w:tcPr>
            <w:tcW w:w="15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283"/>
              <w:ind w:left="0" w:right="0" w:hanging="180"/>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133"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Amended Articles of Association provide that we will indemnify every director, secretary, assistant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that person’s duties, powers, authorities, or discretions; and (b) without limitation to paragraph (a) above, any costs, expenses, losses, or liabilities incurred by such person in defending (whether successfully or otherwise) any civil proceedings concerning us or our affairs in any court, whether in the Cayman Islands or elsewhere.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2"/>
        <w:gridCol w:w="60"/>
        <w:gridCol w:w="5400"/>
        <w:gridCol w:w="60"/>
        <w:gridCol w:w="3503"/>
      </w:tblGrid>
      <w:tr>
        <w:trPr/>
        <w:tc>
          <w:tcPr>
            <w:tcW w:w="1182"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Under our Third Amended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provided that in exercising any such vote, such director’s duties remain as described above.</w:t>
            </w:r>
          </w:p>
        </w:tc>
      </w:tr>
      <w:tr>
        <w:trPr/>
        <w:tc>
          <w:tcPr>
            <w:tcW w:w="1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283"/>
              <w:ind w:left="0" w:right="0" w:hanging="180"/>
              <w:jc w:val="both"/>
              <w:rPr/>
            </w:pPr>
            <w:r>
              <w:rPr/>
              <w:t> </w:t>
            </w:r>
          </w:p>
        </w:tc>
      </w:tr>
      <w:tr>
        <w:trPr/>
        <w:tc>
          <w:tcPr>
            <w:tcW w:w="118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4081"/>
        <w:gridCol w:w="60"/>
        <w:gridCol w:w="4621"/>
      </w:tblGrid>
      <w:tr>
        <w:trPr/>
        <w:tc>
          <w:tcPr>
            <w:tcW w:w="1383"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Third Amended Articles of Association provide that our directors may be appointed by a resolution of our board of directors to fill a casual vacancy on the board of directors or as an addition to the board of directors or by an ordinary resolution of our shareholders.</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There are no prohibitions in relation to cumulative voting under the Cayman Companies Act but our Third Amended Articles of Association do not provide for cumulative voting.</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Third Amended Articles of Association may only be amended by a special resolution of the shareholders.</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 Our Third Amended Articles of Association provide that directors may be removed with or without cause, by an ordinary resolution of our shareholders.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director’s office shall be vacated if the director (1) becomes bankrupt or makes any arrangement or composition with his creditors; (2) is found to be or becomes of unsound mind or dies; (3) resigns his office by notice in writing to the company; (4) becomes unable to serve; (5) without special leave of absence from the Board, is absent from meetings of the Board for three consecutive meetings and the Board resolves that his office be vacated; or (6) is removed from office pursuant to any other provisions of our Third Amended Articles of Association.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4"/>
        <w:gridCol w:w="60"/>
        <w:gridCol w:w="3077"/>
        <w:gridCol w:w="60"/>
        <w:gridCol w:w="5944"/>
      </w:tblGrid>
      <w:tr>
        <w:trPr/>
        <w:tc>
          <w:tcPr>
            <w:tcW w:w="1064"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in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tc>
      </w:tr>
      <w:tr>
        <w:trPr/>
        <w:tc>
          <w:tcPr>
            <w:tcW w:w="1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283"/>
              <w:ind w:left="0" w:right="0" w:hanging="180"/>
              <w:jc w:val="both"/>
              <w:rPr/>
            </w:pPr>
            <w:r>
              <w:rPr/>
              <w:t> </w:t>
            </w:r>
          </w:p>
        </w:tc>
      </w:tr>
      <w:tr>
        <w:trPr/>
        <w:tc>
          <w:tcPr>
            <w:tcW w:w="1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5"/>
        <w:gridCol w:w="60"/>
        <w:gridCol w:w="2344"/>
        <w:gridCol w:w="60"/>
        <w:gridCol w:w="6616"/>
      </w:tblGrid>
      <w:tr>
        <w:trPr/>
        <w:tc>
          <w:tcPr>
            <w:tcW w:w="1125"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r>
        <w:trPr/>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pPr>
            <w:r>
              <w:rPr/>
              <w:t> </w:t>
            </w:r>
          </w:p>
        </w:tc>
      </w:tr>
      <w:tr>
        <w:trPr/>
        <w:tc>
          <w:tcPr>
            <w:tcW w:w="1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memorandum and articles of association, the register of mortgages or charges and special resolutions of the shareholders) of the company. However, these rights may be provided in the company’s memorandum and articles of association.</w:t>
            </w:r>
          </w:p>
        </w:tc>
      </w:tr>
      <w:tr>
        <w:trPr/>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pPr>
            <w:r>
              <w:rPr/>
              <w:t> </w:t>
            </w:r>
          </w:p>
        </w:tc>
      </w:tr>
      <w:tr>
        <w:trPr/>
        <w:tc>
          <w:tcPr>
            <w:tcW w:w="1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Third Amended Articles of Association allow our shareholders holding shares which carry in aggregate not less than one-third of all votes attaching to all of our issued and outstanding shares, to requisition a general meeting of our shareholders, in which case our chairman or a majority of our directors are obliged to call such meeting. If there are no directors as at the date of the deposit of the shareholders’ requisition or if the directors do not within 21 calendar days from the date of the date of the deposit of the requisition duly proceed to convene a general meeting to be held within a further 21 calendar days, the requisitionists, or any of them representing more than one-half of the total voting rights of all of them, may themselves convene a general meeting, but any meeting so convened must not be held after the expiration of two calendar months after the expiration of the said 21 calendar days. Our Third Amended Articles of Association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an annual general meeting every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7"/>
        <w:gridCol w:w="60"/>
        <w:gridCol w:w="3637"/>
        <w:gridCol w:w="60"/>
        <w:gridCol w:w="5141"/>
      </w:tblGrid>
      <w:tr>
        <w:trPr/>
        <w:tc>
          <w:tcPr>
            <w:tcW w:w="1307"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actions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Cayman Companies Act allows a special resolution to be passed in writing if signed by all shareholders who would have been entitled to vote on such matter at a general meeting (if authorized by the memorandum and articles of association).</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Cayman Companies Act does not have provisions governing the proceedings of shareholders meetings, which are usually provided in the memorandum and articles of association. Please see above.</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 company may be wound up voluntarily (a) by virtue of a special resolution, (b) because the period, if any, fixed for the duration of the company by its articles of association has expired, or (c) because the event, if any, has occurred, on the occurrence of which its articles of association provide that the company shall be wound up. Our articles of association contain no fixed period for the duration of our Company and no provisions for the winding up of our Company on the occurrence of any particular event. Under the Cayman Companies Act, a company may also be wound up compulsorily by order of the Grand Court of the Cayman Islands, including if the company is unable to pay its debts as they fall due or the Grand Court of the Cayman Islands is of the opinion that it is just and equitable that the company should be wound up.</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Share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share issuances since incorporation in 2021. We note that any “Ordinary Shares” referred to below, and issued prior to August 13, 2024, have since been re-designated as Class A Ordinary Shares or as Class B Ordinary Shares. See “</w:t>
      </w:r>
      <w:r>
        <w:rPr>
          <w:rFonts w:ascii="Times New Roman;Times;Serif" w:hAnsi="Times New Roman;Times;Serif"/>
          <w:b w:val="false"/>
          <w:i/>
          <w:caps w:val="false"/>
          <w:smallCaps w:val="false"/>
          <w:sz w:val="20"/>
        </w:rPr>
        <w:t>Prospectus Summary — Recent Development — Variation of Share Capital”</w:t>
      </w:r>
      <w:r>
        <w:rPr>
          <w:rFonts w:ascii="Times New Roman;Times;Serif" w:hAnsi="Times New Roman;Times;Serif"/>
          <w:b w:val="false"/>
          <w:i w:val="false"/>
          <w:caps w:val="false"/>
          <w:smallCaps w:val="false"/>
          <w:sz w:val="20"/>
        </w:rPr>
        <w:t xml:space="preserve"> in this prospectus.  For the shares issued prior to April 1, 2026, the share numbers below and their respective prices reflect the 1-for-100 reverse share split implemented on March 31, 2024, but are not presented to give effect to the 1-for-10 reverse share split implemented on April 1, 2026. Solely for the purposes of this “History of Share Issuances” subsection, the number of ordinary shares following the 1-for-100 reverse share split is presented in hundredths where such number is not a whole number. Similarly, except for the par value, the share price is also presented in hundredths where such number is not a whole number. For the shares issued after April 1, 2026, the share numbers below and their respective prices reflect the 1-for-100 reverse share split implemented on March 31, 2024 and the 1-for-10 reverse share split implemented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the Company closed its initial public offering (the “IPO”) of 24,166.67 ordinary shares, pursuant to a registration statement on Form F-1 (File No.333-268949), which was declared effective by the SEC on March 31, 2023. The ordinary shares were priced at $600 per share and the IPO was conducted on a firm commitment basis. On April 25, 2023, WestPark Capital, Inc, as the representative of the underwriter of the IPO of the Company, partially exercised the over-allotment option to purchase an additional 833.33 ordinary shares at the IPO price of $600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Company closed a registered follow-on offering to three investors in connection with the offering and sale of 100,000 units, consisting of an aggregate of (a) 100,000 ordinary shares of the Company, (b) 100,000 Series A warrants, and (c) 100,000 Series B warrants, at a price of $120 per unit. As of the date of this prospectus, the investors have exercised all the Series B warrants for a total of 1,535,936.71 ordinary shares pursuant to an alternative cashless exercise clause under the Series B warrants. All Series A warrants are outstanding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issued 300,000 ordinary shares (valued at $2,625,000) to Lingzhi Zeng, the sole shareholder of Matson (Hong Kong) Industry Co., Limited, in a transaction to acquire 26.25% of Matson (Hong Kong) Industry Co., Limited’s total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the Company issued and sold to Big Benefit Ltd., an aggregate of 419,289 ordinary shares of the Company, at a purchase price of $4.77 per ordinary share, for an aggregate purchase price of $2,000,008.53.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2024, the Company issued and sold to Fortune Light Assets Ltd., an aggregate of 209,644 ordinary shares of the Company, at a purchase price of $4.77 per ordinary share, for an aggregate purchase price of $1,000,001.88.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2024, the Company issued and sold to Fortune Light Assets Ltd., an aggregate of 209,644 ordinary shares of the Company, at a purchase price of $4.77 per ordinary share, for an aggregate purchase price of $1,000,001.88.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AGM of the Company was held on August 13, 2024. At the 2024 AGM, the shareholders of the Company adopted the following resolutions with respect to the variation of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in the capital of the Company (other than the 71,250 ordinary shares held by U Create Limited, the 157,859 ordinary shares held by U Trend Limited, the 149,435 ordinary shares held by Upincar Limited and the 209,644 ordinary shares held by Fortune Light Assets Ltd) into Class A ordinary shares of US$0.00001 each, with each Class A ordinary share entitled to one vote;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ordinary shares held by U Create Limited, the 157,859 ordinary shares held by U Trend Limited, the 149,435 ordinary shares held by Upincar Limited and the 209,644 ordinary shares held by Fortune Light Assets Ltd into Class B ordinary shares of US$0.00001 each, with each Class B ordinary share entitled to 20 votes;</w:t>
            </w:r>
          </w:p>
        </w:tc>
      </w:tr>
    </w:tbl>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230"/>
        <w:gridCol w:w="81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ordinary shares as Class A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245"/>
        <w:gridCol w:w="7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ordinary shares as Class B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issued and sold to certain institutional investors, (i) 648,000 Class A ordinary shares, (ii) pre-funded warrants to purchase up to 393,668 Class A ordinary shares in a registered direct offering, and (iii) common warrants to purchase up to 1,562,502 Class A ordinary shares in a concurrent private placement at a combined offering price for each Class A ordinary share and accompanying common warrant of $4.80. The gross proceeds to the Company were approximately $5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Company issued and sold to certain institutional investors, (i) 445,000 Class A ordinary shares, (ii) pre-funded warrants to purchase up to 106,628 Class A ordinary shares in a registered direct offering, and (iii) common warrants to purchase up to 551,628 Class A ordinary shares in a concurrent private placement at a combined offering price for each Class A ordinary share and accompanying common warrant of $2.50. The gross proceeds to the Company were approximately $1.38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both"/>
              <w:rPr/>
            </w:pPr>
            <w:r>
              <w:rPr/>
              <w:t>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subsequently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subsequently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(D)</w:t>
            </w:r>
          </w:p>
        </w:tc>
        <w:tc>
          <w:tcPr>
            <w:tcW w:w="9858" w:type="dxa"/>
            <w:tcBorders/>
            <w:vAlign w:val="center"/>
          </w:tcPr>
          <w:p>
            <w:pPr>
              <w:pStyle w:val="TableContents"/>
              <w:bidi w:val="0"/>
              <w:spacing w:before="0" w:after="283"/>
              <w:jc w:val="both"/>
              <w:rPr/>
            </w:pPr>
            <w:r>
              <w:rPr/>
              <w:t>all fractional shares (after aggregating all fractional shares that would otherwise be received by a shareholder) resulting from each of the Share Consolidations will be rounded up to the whole number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issued and sold to certain investors 13,360,000 Units, with each Unit consisting of (i) one Class A ordinary share, par value $0.00001 per share, and (ii) one Class A warrant to purchase one Class A ordinary share, par value $0.00001 per share, in an underwritten follow-on offering at a public offering price of $0.449 per Unit (the “March 2026 Offering”), for aggregate gross proceeds to the Company of approximately $6 million, before deducting underwriting discounts and offering expenses paid by the Company. The Company also granted the underwriter an over-allotment option exercisable for up to forty-five (45) days after the date of the March 2026 Offering, which permitted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and sold to seven investors an aggregate of 2,900,000 Class A Ordinary Shares of the Company, at a purchase price of $1.10 per share, for an aggregate purchase price of $3,190,000.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issued and sold to seven investors an aggregate of 15,670,737 Class A Ordinary Shares of the Company, at a purchase price of $1.64 per share, for an aggregate purchase price of $25.7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issued and sold to four investors an aggregate of 9,756,100 Class A Ordinary Shares of the Company, at a purchase price of $1.64 per share, for an aggregate purchase price of $14.0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J_009"/>
      <w:bookmarkEnd w:id="10"/>
      <w:r>
        <w:rPr>
          <w:rFonts w:ascii="Times New Roman;Times;Serif" w:hAnsi="Times New Roman;Times;Serif"/>
          <w:b/>
          <w:i w:val="false"/>
          <w:caps/>
          <w:sz w:val="20"/>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an aggregate of 9,756,100 Class A Ordinary Shares held by the Selling Shareholders as specified in the table below. We will not receive any of the proceeds from the sale of Class A Ordinary Shares by the Selling Shareholders. The Class A Ordinary Shares were issued to the Selling Shareholders pursuant to an exemption from registration under the Securities Act in reliance upon Regulation S promulgated thereunder. Except for the ownership of the Class A Ordinary Shares, the Selling Shareholders have not had any material relationship with us within the past three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beneficially owned by the Selling Shareholders are being registered to permit public secondary trading of these securities, and the Selling Shareholders may offer these Class A Ordinary Shares for resale from time to time as described in the “Plan of Distribution”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and position or positions with the Company of each Selling Shareholder; (b) the number of Class A Ordinary Shares held by each Selling Shareholder as of the date of this prospectus; (c) the number of Class A Ordinary Shares that each Selling Shareholder may offer for sale from time to time pursuant to this prospectus, whether or not such Selling Shareholder has a present intention to do so; and (d) the number of Class A Ordinary Shares beneficially owned by each Selling Shareholder following the sale of all shares that may be so offered pursuant to this prospectus, assuming no other change in ownership of Class A Ordinary Shares by such Selling Shareholder after the date of this prospectus. Unless otherwise indicated, beneficial ownership is direct and the person indicated has sole voting and investment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name in the table below does not constitute an admission that such individual is an “affiliate”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beneficial ownership is determined in accordance with Rule 13d-3 promulgated under the Exchange Act, and includes voting power and investment power with respect to such shares. In calculating the percentage ownership or percent of equity vote for a given individual or group, the number of Class A Ordinary Shares outstanding for that individual or group includes unissued shares subject to options, warrants, rights or conversion privileges exercisable within sixty days held by such individual or group, but are not deemed outstanding by any other person or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percentages of ownership and voting power are based on an aggregate of 35,461,948 Class A Ordinary Shares and 36,805 Class B Ordinary Shares issued and outstanding on August 3,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7"/>
        <w:gridCol w:w="60"/>
        <w:gridCol w:w="972"/>
        <w:gridCol w:w="60"/>
        <w:gridCol w:w="129"/>
        <w:gridCol w:w="1048"/>
        <w:gridCol w:w="185"/>
        <w:gridCol w:w="60"/>
        <w:gridCol w:w="129"/>
        <w:gridCol w:w="1046"/>
        <w:gridCol w:w="185"/>
        <w:gridCol w:w="60"/>
        <w:gridCol w:w="958"/>
        <w:gridCol w:w="60"/>
        <w:gridCol w:w="988"/>
        <w:gridCol w:w="60"/>
        <w:gridCol w:w="129"/>
        <w:gridCol w:w="1048"/>
        <w:gridCol w:w="187"/>
        <w:gridCol w:w="60"/>
        <w:gridCol w:w="129"/>
        <w:gridCol w:w="1046"/>
        <w:gridCol w:w="209"/>
      </w:tblGrid>
      <w:tr>
        <w:trPr/>
        <w:tc>
          <w:tcPr>
            <w:tcW w:w="1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Currently Owned</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r>
          </w:p>
        </w:tc>
        <w:tc>
          <w:tcPr>
            <w:tcW w:w="60" w:type="dxa"/>
            <w:tcBorders/>
            <w:vAlign w:val="center"/>
          </w:tcPr>
          <w:p>
            <w:pPr>
              <w:pStyle w:val="TableContents"/>
              <w:bidi w:val="0"/>
              <w:spacing w:before="0" w:after="283"/>
              <w:jc w:val="left"/>
              <w:rPr/>
            </w:pPr>
            <w:r>
              <w:rPr/>
              <w:t> </w:t>
            </w:r>
          </w:p>
        </w:tc>
        <w:tc>
          <w:tcPr>
            <w:tcW w:w="3856"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Owned After Resale</w:t>
            </w:r>
            <w:r>
              <w:rPr>
                <w:rFonts w:ascii="Times New Roman;Times;Serif" w:hAnsi="Times New Roman;Times;Serif"/>
                <w:b/>
                <w:position w:val="7"/>
                <w:sz w:val="16"/>
                <w:sz w:val="20"/>
              </w:rPr>
              <w:t>(1)</w:t>
            </w:r>
          </w:p>
        </w:tc>
      </w:tr>
      <w:tr>
        <w:trPr/>
        <w:tc>
          <w:tcPr>
            <w:tcW w:w="139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Shareholder</w:t>
            </w:r>
          </w:p>
        </w:tc>
        <w:tc>
          <w:tcPr>
            <w:tcW w:w="60" w:type="dxa"/>
            <w:tcBorders/>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r>
              <w:rPr>
                <w:rFonts w:ascii="Times New Roman;Times;Serif" w:hAnsi="Times New Roman;Times;Serif"/>
                <w:b/>
                <w:position w:val="7"/>
                <w:sz w:val="16"/>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Shares to be </w:t>
              <w:br/>
              <w:t>Offered</w:t>
              <w:br/>
              <w:t>Pursuant to</w:t>
              <w:br/>
              <w:t>this Prospectus</w:t>
            </w:r>
          </w:p>
        </w:tc>
        <w:tc>
          <w:tcPr>
            <w:tcW w:w="60" w:type="dxa"/>
            <w:tcBorders/>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p>
        </w:tc>
        <w:tc>
          <w:tcPr>
            <w:tcW w:w="209" w:type="dxa"/>
            <w:tcBorders/>
            <w:vAlign w:val="center"/>
          </w:tcPr>
          <w:p>
            <w:pPr>
              <w:pStyle w:val="TableContents"/>
              <w:bidi w:val="0"/>
              <w:spacing w:before="0" w:after="283"/>
              <w:ind w:left="0" w:right="0" w:hanging="180"/>
              <w:jc w:val="left"/>
              <w:rPr/>
            </w:pPr>
            <w:r>
              <w:rPr/>
              <w:t> </w:t>
            </w:r>
          </w:p>
        </w:tc>
      </w:tr>
      <w:tr>
        <w:trPr/>
        <w:tc>
          <w:tcPr>
            <w:tcW w:w="1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Song Sheng Technology Limited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5,783,806</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2,439,025</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3,344,781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8.55</w:t>
            </w:r>
          </w:p>
        </w:tc>
        <w:tc>
          <w:tcPr>
            <w:tcW w:w="2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ind w:left="0" w:right="0" w:hanging="180"/>
              <w:jc w:val="left"/>
              <w:rPr/>
            </w:pPr>
            <w:r>
              <w:rPr/>
              <w:t> </w:t>
            </w:r>
          </w:p>
        </w:tc>
      </w:tr>
      <w:tr>
        <w:trPr/>
        <w:tc>
          <w:tcPr>
            <w:tcW w:w="1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Fortune Centre Investment Corporation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6,311,644</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3,658,537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2,653,107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7.48</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w:t>
            </w:r>
          </w:p>
        </w:tc>
        <w:tc>
          <w:tcPr>
            <w:tcW w:w="2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ind w:left="0" w:right="0" w:hanging="180"/>
              <w:jc w:val="left"/>
              <w:rPr/>
            </w:pPr>
            <w:r>
              <w:rPr/>
              <w:t> </w:t>
            </w:r>
          </w:p>
        </w:tc>
      </w:tr>
      <w:tr>
        <w:trPr/>
        <w:tc>
          <w:tcPr>
            <w:tcW w:w="1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Fortune Light Assets Ltd.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2,328,270</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609,757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1,718,513</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ind w:left="0" w:right="0" w:hanging="180"/>
              <w:jc w:val="left"/>
              <w:rPr/>
            </w:pPr>
            <w:r>
              <w:rPr/>
              <w:t> </w:t>
            </w:r>
          </w:p>
        </w:tc>
      </w:tr>
      <w:tr>
        <w:trPr/>
        <w:tc>
          <w:tcPr>
            <w:tcW w:w="1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Hai Chuan Technology Limited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6,097,562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3,048,781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3,048,781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w:t>
            </w:r>
          </w:p>
        </w:tc>
        <w:tc>
          <w:tcPr>
            <w:tcW w:w="2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ind w:left="0" w:right="0" w:hanging="180"/>
              <w:jc w:val="left"/>
              <w:rPr/>
            </w:pPr>
            <w:r>
              <w:rPr/>
              <w:t> </w:t>
            </w:r>
          </w:p>
        </w:tc>
      </w:tr>
      <w:tr>
        <w:trPr/>
        <w:tc>
          <w:tcPr>
            <w:tcW w:w="1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20,521,282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9,756,100</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10,765,182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30.36</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each of the Selling Shareholders (a) may offer all or some of the Class A Ordinary Shares that such shareholder holds in the offering contemplated by this prospectus, (b) the offering of Class A Ordinary Shares is not being underwritten on a firm commitment basis, and (c) the Selling Shareholders could purchase additional Class A Ordinary Shares from time to time, we assume, for purposes of in this column, that all of the Class A Ordinary Shares offered pursuant to this prospectus are sold and that the Selling Shareholders will not purchase any additional Class A Ordinary Shares.</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or group included in this column, the percentage of voting power is calculated by dividing the voting power beneficially owned by such person or group by the voting power of all of our Class A and Class B Ordinary Shares as a single class. In respect of all matters upon which the Ordinary Shares are entitled to vote, each Class A Ordinary Share is entitled to one vote, and each Class B Ordinary Share is entitled to 100 votes, voting together as one class. Each Class B Ordinary Share is convertible into one Class A Ordinary Share at any time by the holder thereof. Class A Ordinary Shares are not convertible into Class B Ordinary Shares under any circumstances.</w:t>
            </w:r>
          </w:p>
        </w:tc>
      </w:tr>
      <w:tr>
        <w:trPr/>
        <w:tc>
          <w:tcPr>
            <w:tcW w:w="209"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Song Sheng Technology Limited is incorporated in Hong Kong and is wholly owned by Chang Tsui-Ling. The business address of Song Sheng Technology Limited and Chang Tsui-Ling is Unit 1002, 10/F., Perfect Commercial, Building, 20 Austin Avenue, Tsim Sha Tsui, Kowloon, Hong Kong.</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 Fortune Centre Investment Corporation is incorporated in the British Virgin Islands and is wholly owned by Chin Chih Chang. Power Fortune Centre Investment Corporation and Chin Chih Chang’s business address is OMC Chambers, Wickhams Cay 1, Road Town, Tortola, British Virgin Islands. </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Fortune Light Assets Ltd. is incorporated in Thailand and is wholly owned by Chatchaval Jiaravanon. Fortune Light Assets Ltd. and Chatchaval Jiaravanon’s business address is 18 True Tower 31f, Ratchadaphisek Road, Huai Khwang, Bangkok 10310, Thailand.</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 Chuan Technology Limited is incorporated in the British Virgin Islands and is wholly owned by Chen Kuen-Lin. Hai Chuan Technology Limited and Chen Kuen-Lin’s business address is Unit 1002, 10/F., Perfect Commercial, Building, 20 Austin Avenue, Tsim Sha Tsui, Kowloon, Hong Kong.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J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of the prospectus, the term “Selling Shareholders” means and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persons identified in the table above as the Selling Shareholders;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the donees, pledgees, distributees, transferees, or other successors in interest of those persons referenced above who may: (a) receive any of the Class A Ordinary Shares offered hereby after the date of this prospectus and (b) offer or sell those shares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offered by this prospectus may be sold from time to time directly by the Selling Shareholders. Alternatively, the Selling Shareholders may from time to time offer such shares through underwriters, brokers, dealers, agents, or other intermediaries. The Selling Shareholders as of the date of this prospectus have advised us that there were no underwriting or distribution arrangements entered into with respect to the Class A Ordinary Shares offered hereby. The distribution of the Class A Ordinary Shares by the Selling Shareholders may be effected: in one or more transactions that may take place on the Nasdaq Capital Market (including one or more block transaction) through customary brokerage channels, either through brokers acting as agents for the Selling Shareholders, or through market makers, dealers, or underwriters acting as principals who may resell these shares on the Nasdaq Capital Market; in privately-negotiated sales; by a combination of such methods; or by other means. These transactions may be effected at market prices prevailing at the time of sale, at prices related to such prevailing market prices, or at other negotiated prices. Usual and customary or specifically negotiated brokerage fees or commissions may be paid by the Selling Shareholders in connection with sales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enter into hedging transactions with broker-dealers in connection with distributions of the shares or otherwise. In such transactions, broker-dealers may engage in short sales of our Class A Ordinary Shares in the course of hedging the positions they assume with the Selling Shareholders. The Selling Shareholders also may sell shares short and redeliver the shares to close out such short positions. The Selling Shareholders may enter into options or other transactions with broker-dealers which require the delivery to the broker-dealer of our Class A Ordinary Shares. The broker-dealer may then resell or otherwise transfer such Class A Ordinary Shares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lend or pledge our Class A Ordinary Shares to a broker-dealer. The broker-dealer may sell the Class A Ordinary Shares so lent, or upon a default the broker-dealer may sell the pledged Class A Ordinary Shares pursuant to this prospectus. Any securities covered by this prospectus which qualify for sale pursuant to Rule 144 may be sold under Rule 144 rather than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have advised us that they have not entered into any agreements, understandings, or arrangements with any underwriters or broker-dealers regarding the sale of their securities. There is no underwriter or coordinating broker acting in connection with the proposed sale of the Class A Ordinary Shares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Class A Ordinary Shares covered by this prospectus are not currently being underwritten, the Selling Shareholders or their underwriters, brokers, dealers, or other agents or other intermediaries, if any, that may participate with the selling security holders in any offering or distribution of the Class A Ordinary Shares may be deemed to be “underwriters” within the meaning of the Securities Act and any profits realized or commissions received by them may be deemed underwriting compensation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a distribution of the Class A Ordinary Shares offered hereby may not simultaneously engage in market-making activities with respect to the Class A Ordinary Shares for a period of up to five days preceding such distribution. The Selling Shareholders will be subject to the applicable provisions of the Exchange Act and the rules and regulations promulgated thereunder, including, without limitation, Regulation M, which provisions may limit the timing of purchases and sales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certain state securities or “blue-sky” laws and regulations, if applicable, the Class A Ordinary Shares offered hereby will be sold in such jurisdictions only through registered or licensed brokers or dealers. In certain states, the Class A Ordinary Shares may not be sold unless they are registered or qualified for sale in such state, or unless an exemption from registration or qualification is available and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Class A Ordinary Shares offered hereby. The Selling Shareholders, however, will bear any brokerage or underwriting commissions and similar selling expenses, if any, attributable to the sale of the Class A Ordinary Shares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Shareholders will sell any or all of the securities offered by them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J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J_012"/>
      <w:bookmarkEnd w:id="13"/>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J_013"/>
      <w:bookmarkEnd w:id="14"/>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J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Hunter Taubman Fischer &amp; Li LLC with respect to certain legal matters of U.S. federal securities and New York State law. The validity of the securities offered in this offering and certain other legal matters as to Cayman Islands law will be passed upon for us by Maples and Calder (Hong Kong) LLP, our counsel as to Cayman Islands law. Legal matters as to PRC law will be passed upon for us by Guantao Law Firm.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for the fiscal year ended December 31, 2025 incorporated herein by reference to the 2025 Annual Report have been so incorporated in reliance on the report of </w:t>
      </w:r>
      <w:r>
        <w:rPr>
          <w:rFonts w:ascii="Times New Roman;Times;Serif" w:hAnsi="Times New Roman;Times;Serif"/>
          <w:b w:val="false"/>
          <w:i w:val="false"/>
          <w:caps w:val="false"/>
          <w:smallCaps w:val="false"/>
          <w:sz w:val="20"/>
          <w:shd w:fill="FFFFFF" w:val="clear"/>
        </w:rPr>
        <w:t>HCL PLLC</w:t>
      </w:r>
      <w:r>
        <w:rPr>
          <w:rFonts w:ascii="Times New Roman;Times;Serif" w:hAnsi="Times New Roman;Times;Serif"/>
          <w:b w:val="false"/>
          <w:i w:val="false"/>
          <w:caps w:val="false"/>
          <w:smallCaps w:val="false"/>
          <w:sz w:val="20"/>
        </w:rPr>
        <w:t xml:space="preserve">, an independent registered public accounting firm, given on the authority of said firm as experts in auditing and accounting. The office of </w:t>
      </w:r>
      <w:r>
        <w:rPr>
          <w:rFonts w:ascii="Times New Roman;Times;Serif" w:hAnsi="Times New Roman;Times;Serif"/>
          <w:b w:val="false"/>
          <w:i w:val="false"/>
          <w:caps w:val="false"/>
          <w:smallCaps w:val="false"/>
          <w:sz w:val="20"/>
          <w:shd w:fill="FFFFFF" w:val="clear"/>
        </w:rPr>
        <w:t>HCL PLLC</w:t>
      </w:r>
      <w:r>
        <w:rPr>
          <w:rFonts w:ascii="Times New Roman;Times;Serif" w:hAnsi="Times New Roman;Times;Serif"/>
          <w:b w:val="false"/>
          <w:i w:val="false"/>
          <w:caps w:val="false"/>
          <w:smallCaps w:val="false"/>
          <w:sz w:val="20"/>
        </w:rPr>
        <w:t xml:space="preserve"> is located at 1415 W 37th Street, Suite 200, Chicago, IL 60609.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for the fiscal years ended December 31, 2024 and 2023 incorporated herein by reference to the 2025 Annual Report have been so incorporated in reliance on the report of </w:t>
      </w:r>
      <w:r>
        <w:rPr>
          <w:rFonts w:ascii="Times New Roman;Times;Serif" w:hAnsi="Times New Roman;Times;Serif"/>
          <w:b w:val="false"/>
          <w:i w:val="false"/>
          <w:caps w:val="false"/>
          <w:smallCaps w:val="false"/>
          <w:sz w:val="20"/>
          <w:shd w:fill="FFFFFF" w:val="clear"/>
        </w:rPr>
        <w:t>Onestop Assurance PAC,</w:t>
      </w:r>
      <w:r>
        <w:rPr>
          <w:rFonts w:ascii="Times New Roman;Times;Serif" w:hAnsi="Times New Roman;Times;Serif"/>
          <w:b w:val="false"/>
          <w:i w:val="false"/>
          <w:caps w:val="false"/>
          <w:smallCaps w:val="false"/>
          <w:sz w:val="20"/>
        </w:rPr>
        <w:t xml:space="preserve"> an independent registered public accounting firm, given on the authority of said firm as experts in auditing and accounting. The office of </w:t>
      </w:r>
      <w:r>
        <w:rPr>
          <w:rFonts w:ascii="Times New Roman;Times;Serif" w:hAnsi="Times New Roman;Times;Serif"/>
          <w:b w:val="false"/>
          <w:i w:val="false"/>
          <w:caps w:val="false"/>
          <w:smallCaps w:val="false"/>
          <w:sz w:val="20"/>
          <w:shd w:fill="FFFFFF" w:val="clear"/>
        </w:rPr>
        <w:t>Onestop Assurance PAC</w:t>
      </w:r>
      <w:r>
        <w:rPr>
          <w:rFonts w:ascii="Times New Roman;Times;Serif" w:hAnsi="Times New Roman;Times;Serif"/>
          <w:b w:val="false"/>
          <w:i w:val="false"/>
          <w:caps w:val="false"/>
          <w:smallCaps w:val="false"/>
          <w:sz w:val="20"/>
        </w:rPr>
        <w:t xml:space="preserve"> is located at 10 Anson Road, #13-09 International Plaza, Singapore 079903.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registering the Class A Ordinary Shares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of foreign private issuers on Form 6-K.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and other information regarding issuers, like us, that file electronically with the SEC. The information on our website (www.upincar.com), other than the Company’s SEC filings, is not, and should not be, considered part of this prospectus and is not incorporated by reference into this document.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U Power Limited is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J_015"/>
      <w:bookmarkEnd w:id="1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t xml:space="preserve"> </w:t>
            </w:r>
            <w:r>
              <w:rPr>
                <w:rFonts w:ascii="Times New Roman;Times;Serif" w:hAnsi="Times New Roman;Times;Serif"/>
                <w:sz w:val="20"/>
              </w:rPr>
              <w:t xml:space="preserve">for the fiscal year ended December 31, 2025, filed with the SEC on May 15, 2026;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8" w:type="dxa"/>
            <w:tcBorders/>
            <w:vAlign w:val="center"/>
          </w:tcPr>
          <w:p>
            <w:pPr>
              <w:pStyle w:val="TableContents"/>
              <w:bidi w:val="0"/>
              <w:spacing w:before="0" w:after="283"/>
              <w:jc w:val="both"/>
              <w:rPr/>
            </w:pPr>
            <w:r>
              <w:rPr>
                <w:rFonts w:ascii="Times New Roman;Times;Serif" w:hAnsi="Times New Roman;Times;Serif"/>
                <w:sz w:val="20"/>
              </w:rPr>
              <w:t xml:space="preserve">our reports of foreign private issuer on Form 6-K filed with the SEC on </w:t>
            </w:r>
            <w:hyperlink r:id="rId4">
              <w:r>
                <w:rPr>
                  <w:rStyle w:val="InternetLink"/>
                  <w:rFonts w:ascii="Times New Roman;Times;Serif" w:hAnsi="Times New Roman;Times;Serif"/>
                  <w:sz w:val="20"/>
                </w:rPr>
                <w:t>June 9,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July 16,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August 3,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8"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 on </w:t>
            </w:r>
            <w:hyperlink r:id="rId7">
              <w:r>
                <w:rPr>
                  <w:rStyle w:val="InternetLink"/>
                  <w:rFonts w:ascii="Times New Roman;Times;Serif" w:hAnsi="Times New Roman;Times;Serif"/>
                  <w:sz w:val="20"/>
                </w:rPr>
                <w:t>Form 8-A</w:t>
              </w:r>
            </w:hyperlink>
            <w:r>
              <w:rPr>
                <w:rFonts w:ascii="Times New Roman;Times;Serif" w:hAnsi="Times New Roman;Times;Serif"/>
                <w:sz w:val="20"/>
              </w:rPr>
              <w:t>, filed with the SEC on March 31, 2023, and any amendment or report filed for the purpose of updating such description;</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Annual Report contains a description of our business and audited consolidated financial statements with reports by our independent auditors. These statements were prepared in accordance with U.S.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18/F, building 3, science and Technology Industrial Park,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Yijiang District, Wuhu City, Anhui Province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241003</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00852-6859-3598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J_016"/>
      <w:bookmarkEnd w:id="1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J_017"/>
      <w:bookmarkEnd w:id="18"/>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720" w:right="0" w:hanging="36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720" w:right="0" w:hanging="36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720" w:right="0" w:hanging="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720" w:right="0" w:hanging="36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exhaustive body of securities laws than the United States and these securities laws provide significantly less protection to investors; and</w:t>
            </w:r>
          </w:p>
        </w:tc>
      </w:tr>
    </w:tbl>
    <w:p>
      <w:pPr>
        <w:pStyle w:val="TextBody"/>
        <w:bidi w:val="0"/>
        <w:spacing w:before="0" w:after="0"/>
        <w:ind w:left="720" w:right="0" w:hanging="36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 18th Floor, New York, New York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as to Cayman Islands law, has advised us that the courts in the Cayman Islands are unlikely (i) to recognize or enforce judgments of United States courts obtained against us or our directors or officers predicated upon the civil liability provisions of the securities laws of the United States or any state in the United States; and (ii) in original actions brought in the Cayman Islands, to impose liabilities against us or our directors or officers predicated upon the securities laws of the United States or any state in the United States, so far as the liabilities imposed by those provisions are penal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informed us that although there is no statutory enforcement in the Cayman Islands of judgments obtained in the federal or state courts of the United States, the courts of the Cayman Islands will recognize and enforce a foreign money judgement of a foreign court of competent jurisdiction without any retrial on the merits based on the principal that a judgement of a competent foreign court imposes upon the judgement debtor an obligation to pay the sum for which such judgment has been given, provided such judgment (a) is final and conclusive and for a liquidated sum; (b) is not in respect of taxes, a fine or a penalty; (c) is not inconsistent with a Cayman Islands judgment in respect of the same matter, (d) is not impeachable on the grounds of fraud, or (e) was not obtained in a manner and is not of a kind the enforcement of which is contrary to the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Guantao Law Firm,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Guantao Law Firm has further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9,756,100 Class A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we will indemnify every director, secretary, assistant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that person’s duties, powers, authorities, or discretions; and (b) without limitation to paragraph (a) above, all costs, expenses, losses, or liabilities incurred by such person in defending (whether successfully or otherwise) any civil proceedings concerning us or our affairs in any court, whether in the Cayman Islands or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our directors and officers against certain liabilities and expenses incurred by such persons in connection with claims made by reason of their being such a director or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7"/>
        <w:gridCol w:w="60"/>
        <w:gridCol w:w="9298"/>
      </w:tblGrid>
      <w:tr>
        <w:trPr/>
        <w:tc>
          <w:tcPr>
            <w:tcW w:w="84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9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8"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Specimen Certificate for Class A Ordinary Shares (incorporated by reference to Exhibit 4.1 of our Registration Statement on Form F-3 (File No. 333-282901) filed with the SEC on October 8, 2024)</w:t>
              </w:r>
            </w:hyperlink>
          </w:p>
        </w:tc>
      </w:tr>
      <w:tr>
        <w:trPr/>
        <w:tc>
          <w:tcPr>
            <w:tcW w:w="8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8" w:type="dxa"/>
            <w:tcBorders/>
            <w:shd w:fill="FFFFFF" w:val="clear"/>
            <w:tcMar>
              <w:bottom w:w="0" w:type="dxa"/>
            </w:tcMar>
            <w:vAlign w:val="center"/>
          </w:tcPr>
          <w:p>
            <w:pPr>
              <w:pStyle w:val="TableContents"/>
              <w:bidi w:val="0"/>
              <w:spacing w:before="0" w:after="283"/>
              <w:jc w:val="both"/>
              <w:rPr/>
            </w:pPr>
            <w:hyperlink w:anchor="ea030026201ex5-1.htm">
              <w:r>
                <w:rPr>
                  <w:rStyle w:val="InternetLink"/>
                  <w:rFonts w:ascii="Times New Roman;Times;Serif" w:hAnsi="Times New Roman;Times;Serif"/>
                  <w:sz w:val="20"/>
                </w:rPr>
                <w:t>Opinion of Maples and Calder (Hong Kong) LLP</w:t>
              </w:r>
            </w:hyperlink>
          </w:p>
        </w:tc>
      </w:tr>
      <w:tr>
        <w:trPr/>
        <w:tc>
          <w:tcPr>
            <w:tcW w:w="8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8" w:type="dxa"/>
            <w:tcBorders/>
            <w:shd w:fill="CCEEFF" w:val="clear"/>
            <w:tcMar>
              <w:bottom w:w="0" w:type="dxa"/>
            </w:tcMar>
            <w:vAlign w:val="center"/>
          </w:tcPr>
          <w:p>
            <w:pPr>
              <w:pStyle w:val="TableContents"/>
              <w:bidi w:val="0"/>
              <w:spacing w:before="0" w:after="283"/>
              <w:jc w:val="both"/>
              <w:rPr/>
            </w:pPr>
            <w:hyperlink w:anchor="ea030026201ex23-1.htm">
              <w:r>
                <w:rPr>
                  <w:rStyle w:val="InternetLink"/>
                  <w:rFonts w:ascii="Times New Roman;Times;Serif" w:hAnsi="Times New Roman;Times;Serif"/>
                  <w:sz w:val="20"/>
                </w:rPr>
                <w:t>Consent of Onestop Assurance PAC</w:t>
              </w:r>
            </w:hyperlink>
          </w:p>
        </w:tc>
      </w:tr>
      <w:tr>
        <w:trPr/>
        <w:tc>
          <w:tcPr>
            <w:tcW w:w="8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8" w:type="dxa"/>
            <w:tcBorders/>
            <w:shd w:fill="FFFFFF" w:val="clear"/>
            <w:tcMar>
              <w:bottom w:w="0" w:type="dxa"/>
            </w:tcMar>
            <w:vAlign w:val="center"/>
          </w:tcPr>
          <w:p>
            <w:pPr>
              <w:pStyle w:val="TableContents"/>
              <w:bidi w:val="0"/>
              <w:spacing w:before="0" w:after="283"/>
              <w:jc w:val="both"/>
              <w:rPr/>
            </w:pPr>
            <w:hyperlink w:anchor="ea030026201ex23-2.htm">
              <w:r>
                <w:rPr>
                  <w:rStyle w:val="InternetLink"/>
                  <w:rFonts w:ascii="Times New Roman;Times;Serif" w:hAnsi="Times New Roman;Times;Serif"/>
                  <w:sz w:val="20"/>
                </w:rPr>
                <w:t>Consent of HCL PLLC</w:t>
              </w:r>
            </w:hyperlink>
          </w:p>
        </w:tc>
      </w:tr>
      <w:tr>
        <w:trPr/>
        <w:tc>
          <w:tcPr>
            <w:tcW w:w="8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8" w:type="dxa"/>
            <w:tcBorders/>
            <w:shd w:fill="CCEEFF" w:val="clear"/>
            <w:tcMar>
              <w:bottom w:w="0" w:type="dxa"/>
            </w:tcMar>
            <w:vAlign w:val="center"/>
          </w:tcPr>
          <w:p>
            <w:pPr>
              <w:pStyle w:val="TableContents"/>
              <w:bidi w:val="0"/>
              <w:spacing w:before="0" w:after="283"/>
              <w:jc w:val="both"/>
              <w:rPr/>
            </w:pPr>
            <w:hyperlink w:anchor="ea030026201ex5-1.htm">
              <w:r>
                <w:rPr>
                  <w:rStyle w:val="InternetLink"/>
                  <w:rFonts w:ascii="Times New Roman;Times;Serif" w:hAnsi="Times New Roman;Times;Serif"/>
                  <w:sz w:val="20"/>
                </w:rPr>
                <w:t>Consent of Maples and Calder (Hong Kong) LLP (included in Exhibit 5.1)</w:t>
              </w:r>
            </w:hyperlink>
          </w:p>
        </w:tc>
      </w:tr>
      <w:tr>
        <w:trPr/>
        <w:tc>
          <w:tcPr>
            <w:tcW w:w="8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8" w:type="dxa"/>
            <w:tcBorders/>
            <w:shd w:fill="FFFFFF" w:val="clear"/>
            <w:tcMar>
              <w:bottom w:w="0" w:type="dxa"/>
            </w:tcMar>
            <w:vAlign w:val="center"/>
          </w:tcPr>
          <w:p>
            <w:pPr>
              <w:pStyle w:val="TableContents"/>
              <w:bidi w:val="0"/>
              <w:spacing w:before="0" w:after="283"/>
              <w:jc w:val="both"/>
              <w:rPr/>
            </w:pPr>
            <w:hyperlink w:anchor="ea030026201ex23-4.htm">
              <w:r>
                <w:rPr>
                  <w:rStyle w:val="InternetLink"/>
                  <w:rFonts w:ascii="Times New Roman;Times;Serif" w:hAnsi="Times New Roman;Times;Serif"/>
                  <w:sz w:val="20"/>
                </w:rPr>
                <w:t>Consent of Guantao Law Firm</w:t>
              </w:r>
            </w:hyperlink>
          </w:p>
        </w:tc>
      </w:tr>
      <w:tr>
        <w:trPr/>
        <w:tc>
          <w:tcPr>
            <w:tcW w:w="8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8" w:type="dxa"/>
            <w:tcBorders/>
            <w:shd w:fill="CCEEFF" w:val="clear"/>
            <w:tcMar>
              <w:bottom w:w="0" w:type="dxa"/>
            </w:tcMar>
            <w:vAlign w:val="center"/>
          </w:tcPr>
          <w:p>
            <w:pPr>
              <w:pStyle w:val="TableContents"/>
              <w:bidi w:val="0"/>
              <w:spacing w:before="0" w:after="283"/>
              <w:jc w:val="both"/>
              <w:rPr/>
            </w:pPr>
            <w:hyperlink w:anchor="ea0300262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125"/>
        <w:gridCol w:w="125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Shanghai, People’s Republic of China, on August 3, 2026.</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635"/>
        <w:gridCol w:w="2870"/>
      </w:tblGrid>
      <w:tr>
        <w:trPr/>
        <w:tc>
          <w:tcPr>
            <w:tcW w:w="7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 Power Limited</w:t>
            </w:r>
          </w:p>
        </w:tc>
      </w:tr>
      <w:tr>
        <w:trPr/>
        <w:tc>
          <w:tcPr>
            <w:tcW w:w="7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Jia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1760"/>
        <w:gridCol w:w="60"/>
        <w:gridCol w:w="3635"/>
        <w:gridCol w:w="60"/>
        <w:gridCol w:w="1280"/>
      </w:tblGrid>
      <w:tr>
        <w:trPr/>
        <w:tc>
          <w:tcPr>
            <w:tcW w:w="17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Jia Li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Jia Li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Bingyi Zhao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Bingyi Zhao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Xiaochun Li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Xiaochun Li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Quanshi Chen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Quanshi Chen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Bo Lyu</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Bo Lyu</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U Power Limited, has signed this registration statement thereto in New York, NY on August 3, 2026.</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590"/>
        <w:gridCol w:w="4520"/>
      </w:tblGrid>
      <w:tr>
        <w:trPr/>
        <w:tc>
          <w:tcPr>
            <w:tcW w:w="7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Cogency Global Inc.</w:t>
            </w:r>
          </w:p>
        </w:tc>
      </w:tr>
      <w:tr>
        <w:trPr/>
        <w:tc>
          <w:tcPr>
            <w:tcW w:w="7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on behalf of Cogency Global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 w:right="0" w:hanging="0"/>
        <w:jc w:val="right"/>
        <w:rPr>
          <w:rFonts w:ascii="Times New Roman;Times;Serif" w:hAnsi="Times New Roman;Times;Serif"/>
          <w:b/>
          <w:i w:val="false"/>
          <w:caps w:val="false"/>
          <w:smallCaps w:val="false"/>
          <w:sz w:val="20"/>
        </w:rPr>
      </w:pPr>
      <w:bookmarkStart w:id="19" w:name="ea030026201ex5-1.htm"/>
      <w:bookmarkStart w:id="20" w:name="ksea030026201ex51"/>
      <w:bookmarkEnd w:id="19"/>
      <w:bookmarkEnd w:id="20"/>
      <w:r>
        <w:rPr>
          <w:rFonts w:ascii="Times New Roman;Times;Serif" w:hAnsi="Times New Roman;Times;Serif"/>
          <w:b/>
          <w:i w:val="false"/>
          <w:caps w:val="false"/>
          <w:smallCaps w:val="false"/>
          <w:sz w:val="20"/>
        </w:rPr>
        <w:t>Exhibit 5.1</w:t>
      </w:r>
      <w:r>
        <w:br w:type="page"/>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caps w:val="false"/>
          <w:smallCaps w:val="false"/>
        </w:rPr>
      </w:pPr>
      <w:r>
        <w:rPr>
          <w:caps w:val="false"/>
          <w:smallCaps w:val="false"/>
        </w:rPr>
        <w:drawing>
          <wp:inline distT="0" distB="0" distL="0" distR="0">
            <wp:extent cx="923925"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923925" cy="866775"/>
                    </a:xfrm>
                    <a:prstGeom prst="rect">
                      <a:avLst/>
                    </a:prstGeom>
                  </pic:spPr>
                </pic:pic>
              </a:graphicData>
            </a:graphic>
          </wp:inline>
        </w:drawing>
      </w:r>
      <w:r>
        <w:rPr>
          <w:caps w:val="false"/>
          <w:smallCaps w:val="false"/>
        </w:rPr>
        <w:t> </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ref                </w:t>
      </w:r>
      <w:r>
        <w:rPr>
          <w:rFonts w:ascii="Times New Roman;Times;Serif" w:hAnsi="Times New Roman;Times;Serif"/>
          <w:b w:val="false"/>
          <w:i w:val="false"/>
          <w:caps w:val="false"/>
          <w:smallCaps w:val="false"/>
          <w:sz w:val="20"/>
        </w:rPr>
        <w:t>SQG/797888-000002/87176257v2</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2F, Building A, No. 88, North Zhangjiabang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Pudong New Area, Shanghai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200122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August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U Power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U.S. Securities Act of 1933, as amended to date, relating to the resale by certain selling shareholders named in the Registration Statement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of up to an aggregate of 9,756,100 Class A ordinary shares of the Company of a par value of US$0.0001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23.3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2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1</w:t>
            </w:r>
          </w:p>
        </w:tc>
        <w:tc>
          <w:tcPr>
            <w:tcW w:w="2135" w:type="dxa"/>
            <w:tcBorders/>
            <w:vAlign w:val="center"/>
          </w:tcPr>
          <w:p>
            <w:pPr>
              <w:pStyle w:val="TableContents"/>
              <w:bidi w:val="0"/>
              <w:spacing w:before="0" w:after="283"/>
              <w:jc w:val="left"/>
              <w:rPr/>
            </w:pPr>
            <w:r>
              <w:rPr/>
              <w:t>Documents Reviewed</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t>The certificate of incorporation of the Company dated 17 June 2021 issued by the Registrar of Companies in the Cayman Islands.</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The third amended and restated memorandum and articles of association of the Company as adopted by a special resolution passed on 5 December 2025 (the “</w:t>
            </w:r>
            <w:r>
              <w:rPr>
                <w:rFonts w:ascii="Times New Roman;Times;Serif" w:hAnsi="Times New Roman;Times;Serif"/>
                <w:b/>
              </w:rPr>
              <w:t>Memorandum and Articles</w:t>
            </w:r>
            <w:r>
              <w:rPr/>
              <w:t>”).</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The written resolutions of the board of directors of the Company dated 27 July 2026 (the “</w:t>
            </w:r>
            <w:r>
              <w:rPr>
                <w:rFonts w:ascii="Times New Roman;Times;Serif" w:hAnsi="Times New Roman;Times;Serif"/>
                <w:b/>
              </w:rPr>
              <w:t>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7" w:type="dxa"/>
            <w:tcBorders/>
            <w:vAlign w:val="center"/>
          </w:tcPr>
          <w:p>
            <w:pPr>
              <w:pStyle w:val="TableContents"/>
              <w:bidi w:val="0"/>
              <w:spacing w:before="0" w:after="283"/>
              <w:jc w:val="both"/>
              <w:rPr/>
            </w:pPr>
            <w:r>
              <w:rPr/>
              <w:t>A certificate of good standing with respect to the Company issued by the Registrar of Companies dated 31 July 2026 (the “</w:t>
            </w:r>
            <w:r>
              <w:rPr>
                <w:rFonts w:ascii="Times New Roman;Times;Serif" w:hAnsi="Times New Roman;Times;Serif"/>
                <w:b/>
              </w:rPr>
              <w:t>Certificate of Good Standing</w:t>
            </w:r>
            <w:r>
              <w:rPr/>
              <w:t>”).</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7" w:type="dxa"/>
            <w:tcBorders/>
            <w:vAlign w:val="center"/>
          </w:tcPr>
          <w:p>
            <w:pPr>
              <w:pStyle w:val="TableContents"/>
              <w:bidi w:val="0"/>
              <w:spacing w:before="0" w:after="283"/>
              <w:jc w:val="both"/>
              <w:rPr/>
            </w:pPr>
            <w:r>
              <w:rPr/>
              <w:t>A certificate from a director of the Company, a copy of which is attached to this opinion letter (the “</w:t>
            </w:r>
            <w:r>
              <w:rPr>
                <w:rFonts w:ascii="Times New Roman;Times;Serif" w:hAnsi="Times New Roman;Times;Serif"/>
                <w:b/>
              </w:rPr>
              <w:t>Director’s Certificate</w:t>
            </w:r>
            <w:r>
              <w:rPr/>
              <w:t>”).</w:t>
            </w:r>
          </w:p>
        </w:tc>
      </w:tr>
    </w:tbl>
    <w:p>
      <w:pPr>
        <w:pStyle w:val="TextBody"/>
        <w:bidi w:val="0"/>
        <w:spacing w:before="0" w:after="0"/>
        <w:ind w:left="743" w:right="0" w:hanging="72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32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660" w:type="dxa"/>
            <w:tcBorders/>
            <w:vAlign w:val="center"/>
          </w:tcPr>
          <w:p>
            <w:pPr>
              <w:pStyle w:val="TableContents"/>
              <w:bidi w:val="0"/>
              <w:spacing w:before="0" w:after="283"/>
              <w:jc w:val="left"/>
              <w:rPr/>
            </w:pPr>
            <w:r>
              <w:rPr/>
              <w:t>The Registration Statement.</w:t>
            </w:r>
          </w:p>
        </w:tc>
      </w:tr>
    </w:tbl>
    <w:p>
      <w:pPr>
        <w:pStyle w:val="TextBody"/>
        <w:bidi w:val="0"/>
        <w:spacing w:before="0" w:after="0"/>
        <w:ind w:left="743" w:right="0" w:hanging="720"/>
        <w:jc w:val="left"/>
        <w:rPr>
          <w:caps w:val="false"/>
          <w:smallCaps w:val="false"/>
        </w:rPr>
      </w:pPr>
      <w:r>
        <w:rPr>
          <w:caps w:val="false"/>
          <w:smallCaps w:val="false"/>
        </w:rPr>
        <w:t> </w:t>
      </w:r>
    </w:p>
    <w:p>
      <w:pPr>
        <w:pStyle w:val="TextBody"/>
        <w:bidi w:val="0"/>
        <w:spacing w:before="0" w:after="0"/>
        <w:ind w:left="743" w:right="0" w:hanging="720"/>
        <w:jc w:val="left"/>
        <w:rPr>
          <w:caps w:val="false"/>
          <w:smallCaps w:val="false"/>
        </w:rPr>
      </w:pPr>
      <w:r>
        <w:rPr>
          <w:caps w:val="false"/>
          <w:smallCaps w:val="false"/>
        </w:rPr>
        <w:drawing>
          <wp:inline distT="0" distB="0" distL="0" distR="0">
            <wp:extent cx="6191250" cy="1790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6191250" cy="17907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43" w:right="0" w:hanging="72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2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2</w:t>
            </w:r>
          </w:p>
        </w:tc>
        <w:tc>
          <w:tcPr>
            <w:tcW w:w="1265" w:type="dxa"/>
            <w:tcBorders/>
            <w:vAlign w:val="center"/>
          </w:tcPr>
          <w:p>
            <w:pPr>
              <w:pStyle w:val="TableContents"/>
              <w:bidi w:val="0"/>
              <w:spacing w:before="0" w:after="283"/>
              <w:jc w:val="left"/>
              <w:rPr/>
            </w:pPr>
            <w:r>
              <w:rPr/>
              <w:t>Assumptions</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743" w:right="0" w:hanging="72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32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4205" w:type="dxa"/>
            <w:tcBorders/>
            <w:vAlign w:val="center"/>
          </w:tcPr>
          <w:p>
            <w:pPr>
              <w:pStyle w:val="TableContents"/>
              <w:bidi w:val="0"/>
              <w:spacing w:before="0" w:after="283"/>
              <w:jc w:val="left"/>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283"/>
              <w:jc w:val="both"/>
              <w:rPr/>
            </w:pPr>
            <w:r>
              <w:rPr/>
              <w:t>There is nothing under any law (other than the laws of the Cayman Islands) which would or might affect the opinions set out below. Specifically, we have made no independent investigation of the laws of the State of New York.</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7" w:type="dxa"/>
            <w:tcBorders/>
            <w:vAlign w:val="center"/>
          </w:tcPr>
          <w:p>
            <w:pPr>
              <w:pStyle w:val="TableContents"/>
              <w:bidi w:val="0"/>
              <w:spacing w:before="0" w:after="283"/>
              <w:jc w:val="both"/>
              <w:rPr/>
            </w:pPr>
            <w:r>
              <w:rPr/>
              <w:t>There is nothing contained in the minute book or corporate records of the Company (which we have not inspected)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7"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 the Shares.</w:t>
            </w:r>
          </w:p>
        </w:tc>
      </w:tr>
    </w:tbl>
    <w:p>
      <w:pPr>
        <w:pStyle w:val="TextBody"/>
        <w:bidi w:val="0"/>
        <w:spacing w:before="0" w:after="0"/>
        <w:ind w:left="743" w:right="0" w:hanging="720"/>
        <w:jc w:val="left"/>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125"/>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3</w:t>
            </w:r>
          </w:p>
        </w:tc>
        <w:tc>
          <w:tcPr>
            <w:tcW w:w="815" w:type="dxa"/>
            <w:tcBorders/>
            <w:vAlign w:val="center"/>
          </w:tcPr>
          <w:p>
            <w:pPr>
              <w:pStyle w:val="TableContents"/>
              <w:bidi w:val="0"/>
              <w:spacing w:before="0" w:after="283"/>
              <w:jc w:val="left"/>
              <w:rPr/>
            </w:pPr>
            <w:r>
              <w:rPr/>
              <w:t>Opinion</w:t>
            </w:r>
          </w:p>
        </w:tc>
      </w:tr>
    </w:tbl>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t>The authorised share capital of the Company is US$50,000 divided into (i) 399,941,181.2 Class A Ordinary Shares of a par value of US$0.0001 each and (ii) 100,058,818.8 Class B Ordinary Shares of a par value of US$0.0001 each.</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both"/>
              <w:rPr/>
            </w:pPr>
            <w:r>
              <w:rPr/>
              <w:t>The issue and allotment of the Shares to be offered and sold by the Selling Shareholders have been duly authorised. The Shares are legally issued and allotted and are (assuming the purchase price therefor has been paid in full) fully paid and non-assessable. As a matter of Cayman Islands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25"/>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4</w:t>
            </w:r>
          </w:p>
        </w:tc>
        <w:tc>
          <w:tcPr>
            <w:tcW w:w="1355" w:type="dxa"/>
            <w:tcBorders/>
            <w:vAlign w:val="center"/>
          </w:tcPr>
          <w:p>
            <w:pPr>
              <w:pStyle w:val="TableContents"/>
              <w:bidi w:val="0"/>
              <w:spacing w:before="0" w:after="283"/>
              <w:jc w:val="left"/>
              <w:rPr/>
            </w:pPr>
            <w:r>
              <w:rPr/>
              <w:t>Qualifications</w:t>
            </w:r>
          </w:p>
        </w:tc>
      </w:tr>
    </w:tbl>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both"/>
              <w:rPr/>
            </w:pPr>
            <w:r>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7" w:type="dxa"/>
            <w:tcBorders/>
            <w:vAlign w:val="center"/>
          </w:tcPr>
          <w:p>
            <w:pPr>
              <w:pStyle w:val="TableContents"/>
              <w:bidi w:val="0"/>
              <w:spacing w:before="0" w:after="283"/>
              <w:jc w:val="both"/>
              <w:rPr/>
            </w:pPr>
            <w:r>
              <w:rPr/>
              <w:t>In this opinion the phrase “non-assessable” means, with respect to ordinary shares of the Company, that a shareholder shall not, solely by virtue of its status as a shareholder and in absence of a contractual arrangement, or an obligation pursuant to the memorandum</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articles of association, to the contrary, be liable for additional assessments or calls on the ordinary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32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7055" w:type="dxa"/>
            <w:tcBorders/>
            <w:vAlign w:val="center"/>
          </w:tcPr>
          <w:p>
            <w:pPr>
              <w:pStyle w:val="TableContents"/>
              <w:bidi w:val="0"/>
              <w:spacing w:before="0" w:after="283"/>
              <w:jc w:val="left"/>
              <w:rPr/>
            </w:pPr>
            <w:r>
              <w:rPr/>
              <w:t>The obligations of the Company may be subject to restrictions pursuant to:</w:t>
            </w:r>
          </w:p>
        </w:tc>
      </w:tr>
    </w:tbl>
    <w:p>
      <w:pPr>
        <w:pStyle w:val="TextBody"/>
        <w:bidi w:val="0"/>
        <w:spacing w:before="0" w:after="0"/>
        <w:ind w:left="1156"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United Nations and United Kingdom sanctions extended to the Cayman Islands by Orders in Council; and</w:t>
            </w:r>
          </w:p>
        </w:tc>
      </w:tr>
    </w:tbl>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9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925" w:type="dxa"/>
            <w:tcBorders/>
            <w:vAlign w:val="center"/>
          </w:tcPr>
          <w:p>
            <w:pPr>
              <w:pStyle w:val="TableContents"/>
              <w:bidi w:val="0"/>
              <w:spacing w:before="0" w:after="283"/>
              <w:jc w:val="both"/>
              <w:rPr/>
            </w:pPr>
            <w:r>
              <w:rPr/>
              <w:t>sanctions imposed by Cayman Islands authorities under Cayman Islands legislation.</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2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 w:right="0" w:hanging="0"/>
        <w:jc w:val="center"/>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14"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65"/>
        <w:gridCol w:w="3650"/>
        <w:gridCol w:w="75"/>
      </w:tblGrid>
      <w:tr>
        <w:trPr/>
        <w:tc>
          <w:tcPr>
            <w:tcW w:w="365" w:type="dxa"/>
            <w:tcBorders/>
            <w:vAlign w:val="center"/>
          </w:tcPr>
          <w:p>
            <w:pPr>
              <w:pStyle w:val="TableContents"/>
              <w:bidi w:val="0"/>
              <w:spacing w:before="0" w:after="283"/>
              <w:jc w:val="left"/>
              <w:rPr/>
            </w:pPr>
            <w:r>
              <w:rPr/>
              <w:t>To:</w:t>
            </w:r>
          </w:p>
        </w:tc>
        <w:tc>
          <w:tcPr>
            <w:tcW w:w="3650" w:type="dxa"/>
            <w:tcBorders/>
            <w:vAlign w:val="center"/>
          </w:tcPr>
          <w:p>
            <w:pPr>
              <w:pStyle w:val="TableContents"/>
              <w:bidi w:val="0"/>
              <w:spacing w:before="0" w:after="283"/>
              <w:jc w:val="left"/>
              <w:rPr/>
            </w:pPr>
            <w:r>
              <w:rPr/>
              <w:t>Maples and Calder (Hong Kong) LLP</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26th Floor, Central Plaza</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18 Harbour Road</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Wanchai, Hong Kong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742" w:right="0" w:hanging="719"/>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4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7820" w:type="dxa"/>
            <w:tcBorders/>
            <w:vAlign w:val="center"/>
          </w:tcPr>
          <w:p>
            <w:pPr>
              <w:pStyle w:val="TableContents"/>
              <w:bidi w:val="0"/>
              <w:spacing w:before="0" w:after="283"/>
              <w:jc w:val="left"/>
              <w:rPr/>
            </w:pPr>
            <w:r>
              <w:rPr/>
              <w:t>The Memorandum and Articles remain in full force and effect and are unamended.</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The Board Resolutions were duly passed in the manner prescribed in the Memorandum and Articles (including, without limitation, with respect to the disclosure of interests (if any) by the directors of the Company) and have not been amended, varied or revoked in any respect.</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The authorised share capital of the Company is US$50,000 divided into (i) 399,941,181.2 Class A Ordinary Shares of a par value of US$0.0001 each and (ii) 100,058,818.8 Class B Ordinary Shares of a par value of US$0.0001 each and all of the issued shares in the capital of the Company are fully paid and non-assessable (meaning that no further sums are payable to the Company on such shares and the Company has received payment therefor).</w:t>
            </w:r>
          </w:p>
        </w:tc>
      </w:tr>
    </w:tbl>
    <w:p>
      <w:pPr>
        <w:pStyle w:val="TextBody"/>
        <w:bidi w:val="0"/>
        <w:spacing w:before="0" w:after="0"/>
        <w:ind w:left="743" w:right="0" w:hanging="72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4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9725" w:type="dxa"/>
            <w:tcBorders/>
            <w:vAlign w:val="center"/>
          </w:tcPr>
          <w:p>
            <w:pPr>
              <w:pStyle w:val="TableContents"/>
              <w:bidi w:val="0"/>
              <w:spacing w:before="0" w:after="283"/>
              <w:jc w:val="both"/>
              <w:rPr/>
            </w:pPr>
            <w:r>
              <w:rPr/>
              <w:t>The directors of the Company at the date of the Board Resolutions and at the date hereof were and are:</w:t>
            </w:r>
          </w:p>
        </w:tc>
      </w:tr>
    </w:tbl>
    <w:p>
      <w:pPr>
        <w:pStyle w:val="TextBody"/>
        <w:bidi w:val="0"/>
        <w:spacing w:before="0" w:after="0"/>
        <w:ind w:left="743"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 Li</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Quanshi Chen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Xiaochun Li</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Bingyi Zhao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 Lyu</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Each Director considers the transactions contemplated by the Registration Statement to be of commercial benefit to the Company and has acted bona fide in the best interests of the Company, and for a proper purpose of the Company in relation to the transactions the subject of the Opinion.</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and neither the directors nor shareholders of the Company have taken any steps to have the Company struck off or placed in liquidation.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no steps have been taken to wind up the Company or to appoint restructuring officers or interim restructuring officers, and no step has been taken to appoint a receiver in relation to any of the Company’s property or assets.</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No interest in the Company constituting shares, voting rights or ultimate effective control over management in the Company is currently subject to a restrictions notice issued under the BOT Act.</w:t>
            </w:r>
          </w:p>
        </w:tc>
      </w:tr>
    </w:tbl>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14" w:right="0" w:hanging="0"/>
        <w:jc w:val="center"/>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 w:right="0" w:hanging="0"/>
        <w:jc w:val="center"/>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995"/>
        <w:gridCol w:w="875"/>
        <w:gridCol w:w="75"/>
      </w:tblGrid>
      <w:tr>
        <w:trPr/>
        <w:tc>
          <w:tcPr>
            <w:tcW w:w="995" w:type="dxa"/>
            <w:tcBorders/>
            <w:vAlign w:val="center"/>
          </w:tcPr>
          <w:p>
            <w:pPr>
              <w:pStyle w:val="TableContents"/>
              <w:bidi w:val="0"/>
              <w:spacing w:before="0" w:after="283"/>
              <w:jc w:val="left"/>
              <w:rPr/>
            </w:pPr>
            <w:r>
              <w:rPr/>
              <w:t>Signature:</w:t>
            </w:r>
          </w:p>
        </w:tc>
        <w:tc>
          <w:tcPr>
            <w:tcW w:w="875" w:type="dxa"/>
            <w:tcBorders>
              <w:bottom w:val="single" w:sz="12" w:space="0" w:color="000000"/>
            </w:tcBorders>
            <w:tcMar>
              <w:bottom w:w="28" w:type="dxa"/>
            </w:tcMar>
            <w:vAlign w:val="center"/>
          </w:tcPr>
          <w:p>
            <w:pPr>
              <w:pStyle w:val="TableContents"/>
              <w:bidi w:val="0"/>
              <w:spacing w:before="0" w:after="283"/>
              <w:jc w:val="left"/>
              <w:rPr/>
            </w:pPr>
            <w:r>
              <w:rPr/>
              <w:t> </w:t>
            </w:r>
            <w:r>
              <w:rPr/>
              <w:t>/s/ Li Jia</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Name:</w:t>
            </w:r>
          </w:p>
        </w:tc>
        <w:tc>
          <w:tcPr>
            <w:tcW w:w="875" w:type="dxa"/>
            <w:tcBorders/>
            <w:vAlign w:val="center"/>
          </w:tcPr>
          <w:p>
            <w:pPr>
              <w:pStyle w:val="TableContents"/>
              <w:bidi w:val="0"/>
              <w:spacing w:before="0" w:after="283"/>
              <w:jc w:val="left"/>
              <w:rPr/>
            </w:pPr>
            <w:r>
              <w:rPr/>
              <w:t> </w:t>
            </w:r>
            <w:r>
              <w:rPr/>
              <w:t>Li Jia</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Title:</w:t>
            </w:r>
          </w:p>
        </w:tc>
        <w:tc>
          <w:tcPr>
            <w:tcW w:w="875" w:type="dxa"/>
            <w:tcBorders/>
            <w:vAlign w:val="center"/>
          </w:tcPr>
          <w:p>
            <w:pPr>
              <w:pStyle w:val="TableContents"/>
              <w:bidi w:val="0"/>
              <w:spacing w:before="0" w:after="283"/>
              <w:jc w:val="left"/>
              <w:rPr/>
            </w:pPr>
            <w:r>
              <w:rPr/>
              <w:t> </w:t>
            </w: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580" w:right="0" w:hanging="0"/>
        <w:jc w:val="left"/>
        <w:rPr>
          <w:caps w:val="false"/>
          <w:smallCaps w:val="false"/>
        </w:rPr>
      </w:pPr>
      <w:r>
        <w:rPr>
          <w:caps w:val="false"/>
          <w:smallCaps w:val="false"/>
        </w:rPr>
        <w:t> </w:t>
      </w:r>
    </w:p>
    <w:p>
      <w:pPr>
        <w:pStyle w:val="TextBody"/>
        <w:bidi w:val="0"/>
        <w:spacing w:before="0" w:after="0"/>
        <w:ind w:left="15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ind w:left="1580" w:right="0" w:hanging="0"/>
        <w:jc w:val="left"/>
        <w:rPr>
          <w:bdr w:val="single" w:sz="12" w:space="1" w:color="000000"/>
        </w:rPr>
      </w:pPr>
      <w:r>
        <w:rPr>
          <w:bdr w:val="single" w:sz="12" w:space="1" w:color="000000"/>
        </w:rPr>
        <w:t> </w:t>
      </w:r>
    </w:p>
    <w:p>
      <w:pPr>
        <w:pStyle w:val="TextBody"/>
        <w:bidi w:val="0"/>
        <w:spacing w:before="0" w:after="0"/>
        <w:ind w:left="158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30026201ex23-1.htm"/>
      <w:bookmarkStart w:id="22" w:name="ksea030026201ex231"/>
      <w:bookmarkEnd w:id="21"/>
      <w:bookmarkEnd w:id="2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tbl>
      <w:tblPr>
        <w:tblW w:w="6710" w:type="dxa"/>
        <w:jc w:val="left"/>
        <w:tblInd w:w="0" w:type="dxa"/>
        <w:tblLayout w:type="fixed"/>
        <w:tblCellMar>
          <w:top w:w="0" w:type="dxa"/>
          <w:left w:w="0" w:type="dxa"/>
          <w:bottom w:w="0" w:type="dxa"/>
          <w:right w:w="0" w:type="dxa"/>
        </w:tblCellMar>
      </w:tblPr>
      <w:tblGrid>
        <w:gridCol w:w="3735"/>
        <w:gridCol w:w="2975"/>
      </w:tblGrid>
      <w:tr>
        <w:trPr/>
        <w:tc>
          <w:tcPr>
            <w:tcW w:w="3735" w:type="dxa"/>
            <w:vMerge w:val="restart"/>
            <w:tcBorders/>
            <w:vAlign w:val="center"/>
          </w:tcPr>
          <w:p>
            <w:pPr>
              <w:pStyle w:val="TableContents"/>
              <w:bidi w:val="0"/>
              <w:spacing w:before="0" w:after="283"/>
              <w:jc w:val="left"/>
              <w:rPr/>
            </w:pPr>
            <w:r>
              <w:rPr/>
              <w:drawing>
                <wp:inline distT="0" distB="0" distL="0" distR="0">
                  <wp:extent cx="2362200" cy="64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2362200" cy="647700"/>
                          </a:xfrm>
                          <a:prstGeom prst="rect">
                            <a:avLst/>
                          </a:prstGeom>
                        </pic:spPr>
                      </pic:pic>
                    </a:graphicData>
                  </a:graphic>
                </wp:inline>
              </w:drawing>
            </w:r>
          </w:p>
        </w:tc>
        <w:tc>
          <w:tcPr>
            <w:tcW w:w="2975" w:type="dxa"/>
            <w:tcBorders/>
            <w:vAlign w:val="center"/>
          </w:tcPr>
          <w:p>
            <w:pPr>
              <w:pStyle w:val="TableContents"/>
              <w:bidi w:val="0"/>
              <w:spacing w:before="0" w:after="283"/>
              <w:jc w:val="right"/>
              <w:rPr>
                <w:b/>
                <w:sz w:val="20"/>
              </w:rPr>
            </w:pPr>
            <w:r>
              <w:rPr>
                <w:b/>
                <w:sz w:val="20"/>
              </w:rPr>
              <w:t xml:space="preserve">Onestop Assurance PAC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 xml:space="preserve">Co. Registration No.: 201823302D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 xml:space="preserve">10 Anson Road #21-14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 xml:space="preserve">International Plaza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 xml:space="preserve">Singapore, 079903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 xml:space="preserve">Email: audit@onestop-audit.com </w:t>
            </w:r>
          </w:p>
        </w:tc>
      </w:tr>
      <w:tr>
        <w:trPr/>
        <w:tc>
          <w:tcPr>
            <w:tcW w:w="3735" w:type="dxa"/>
            <w:vMerge w:val="continue"/>
            <w:tcBorders/>
            <w:vAlign w:val="center"/>
          </w:tcPr>
          <w:p>
            <w:pPr>
              <w:pStyle w:val="Normal"/>
              <w:bidi w:val="0"/>
              <w:jc w:val="left"/>
              <w:rPr/>
            </w:pPr>
            <w:r>
              <w:rPr/>
            </w:r>
          </w:p>
        </w:tc>
        <w:tc>
          <w:tcPr>
            <w:tcW w:w="2975" w:type="dxa"/>
            <w:tcBorders/>
            <w:vAlign w:val="center"/>
          </w:tcPr>
          <w:p>
            <w:pPr>
              <w:pStyle w:val="TableContents"/>
              <w:bidi w:val="0"/>
              <w:spacing w:before="0" w:after="283"/>
              <w:jc w:val="right"/>
              <w:rPr>
                <w:b/>
                <w:sz w:val="20"/>
              </w:rPr>
            </w:pPr>
            <w:r>
              <w:rPr>
                <w:b/>
                <w:sz w:val="20"/>
              </w:rPr>
              <w:t>Website: www.onestop-audit.com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23" w:right="22" w:hanging="0"/>
        <w:jc w:val="both"/>
        <w:rPr>
          <w:caps w:val="false"/>
          <w:smallCaps w:val="false"/>
        </w:rPr>
      </w:pPr>
      <w:r>
        <w:rPr>
          <w:caps w:val="false"/>
          <w:smallCaps w:val="false"/>
        </w:rPr>
        <w:t> </w:t>
      </w:r>
    </w:p>
    <w:p>
      <w:pPr>
        <w:pStyle w:val="TextBody"/>
        <w:bidi w:val="0"/>
        <w:spacing w:before="0" w:after="0"/>
        <w:ind w:left="23" w:right="2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our report dated May 15, 2025, with respect to the consolidated financial statements of U Power Limited and its subsidiaries, appearing in its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 w:right="2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2690"/>
        <w:gridCol w:w="75"/>
      </w:tblGrid>
      <w:tr>
        <w:trPr/>
        <w:tc>
          <w:tcPr>
            <w:tcW w:w="2690" w:type="dxa"/>
            <w:tcBorders/>
            <w:vAlign w:val="center"/>
          </w:tcPr>
          <w:p>
            <w:pPr>
              <w:pStyle w:val="TableContents"/>
              <w:bidi w:val="0"/>
              <w:spacing w:before="0" w:after="283"/>
              <w:jc w:val="left"/>
              <w:rPr/>
            </w:pPr>
            <w:r>
              <w:rPr/>
              <w:t>/s/ Onestop Assurance PAC</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Singapore</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August 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30026201ex23-2.htm"/>
      <w:bookmarkStart w:id="24" w:name="ksea030026201ex232"/>
      <w:bookmarkEnd w:id="23"/>
      <w:bookmarkEnd w:id="24"/>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including the prospectus constituting a part thereof, of our report dated May 15, 2026, with respect to the consolidated financial statements of U Power Limited and its subsidiaries included in U Power Limited’s Annual Report on Form 20-F for the year ended December 31, 2025, filed with the Securities and Exchange Commission on 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1505"/>
        <w:gridCol w:w="75"/>
      </w:tblGrid>
      <w:tr>
        <w:trPr/>
        <w:tc>
          <w:tcPr>
            <w:tcW w:w="1505" w:type="dxa"/>
            <w:tcBorders/>
            <w:vAlign w:val="center"/>
          </w:tcPr>
          <w:p>
            <w:pPr>
              <w:pStyle w:val="TableContents"/>
              <w:bidi w:val="0"/>
              <w:spacing w:before="0" w:after="283"/>
              <w:jc w:val="left"/>
              <w:rPr/>
            </w:pPr>
            <w:r>
              <w:rPr/>
              <w:t>HCL, PLLC</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Chicago, IL</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August 3, 2026</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5" w:name="ea030026201ex23-4.htm"/>
      <w:bookmarkStart w:id="26" w:name="ksea030026201ex234"/>
      <w:bookmarkEnd w:id="25"/>
      <w:bookmarkEnd w:id="26"/>
      <w:r>
        <w:rPr>
          <w:rFonts w:ascii="Times New Roman;Times;Serif" w:hAnsi="Times New Roman;Times;Serif"/>
          <w:b/>
          <w:sz w:val="20"/>
        </w:rPr>
        <w:t>Exhibit 23.4</w:t>
      </w:r>
      <w:r>
        <w:br w:type="page"/>
      </w:r>
    </w:p>
    <w:p>
      <w:pPr>
        <w:pStyle w:val="TextBody"/>
        <w:bidi w:val="0"/>
        <w:spacing w:before="0" w:after="283"/>
        <w:jc w:val="left"/>
        <w:rPr/>
      </w:pPr>
      <w:r>
        <w:rPr/>
        <w:t> </w:t>
      </w:r>
    </w:p>
    <w:tbl>
      <w:tblPr>
        <w:tblW w:w="7730" w:type="dxa"/>
        <w:jc w:val="left"/>
        <w:tblInd w:w="0" w:type="dxa"/>
        <w:tblLayout w:type="fixed"/>
        <w:tblCellMar>
          <w:top w:w="0" w:type="dxa"/>
          <w:left w:w="0" w:type="dxa"/>
          <w:bottom w:w="0" w:type="dxa"/>
          <w:right w:w="0" w:type="dxa"/>
        </w:tblCellMar>
      </w:tblPr>
      <w:tblGrid>
        <w:gridCol w:w="3870"/>
        <w:gridCol w:w="60"/>
        <w:gridCol w:w="3800"/>
      </w:tblGrid>
      <w:tr>
        <w:trPr/>
        <w:tc>
          <w:tcPr>
            <w:tcW w:w="3870" w:type="dxa"/>
            <w:tcBorders/>
            <w:vAlign w:val="center"/>
          </w:tcPr>
          <w:p>
            <w:pPr>
              <w:pStyle w:val="TableContents"/>
              <w:bidi w:val="0"/>
              <w:spacing w:before="0" w:after="283"/>
              <w:jc w:val="left"/>
              <w:rPr/>
            </w:pPr>
            <w:r>
              <w:rPr/>
              <w:drawing>
                <wp:inline distT="0" distB="0" distL="0" distR="0">
                  <wp:extent cx="2447925" cy="847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2447925" cy="8477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caps w:val="false"/>
                <w:smallCaps w:val="false"/>
              </w:rPr>
            </w:pPr>
            <w:r>
              <w:rPr>
                <w:rFonts w:eastAsia="Times New Roman;Times;Serif"/>
                <w:b w:val="false"/>
                <w:i w:val="false"/>
                <w:caps w:val="false"/>
                <w:smallCaps w:val="false"/>
                <w:sz w:val="20"/>
              </w:rPr>
              <w:t>北京市西城区金融大街</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号新盛大厦</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座</w:t>
            </w:r>
            <w:r>
              <w:rPr>
                <w:rFonts w:ascii="Times New Roman;Times;Serif" w:hAnsi="Times New Roman;Times;Serif"/>
                <w:b w:val="false"/>
                <w:i w:val="false"/>
                <w:caps w:val="false"/>
                <w:smallCaps w:val="false"/>
                <w:sz w:val="20"/>
              </w:rPr>
              <w:t>19</w:t>
            </w:r>
            <w:r>
              <w:rPr>
                <w:rFonts w:eastAsia="Times New Roman;Times;Serif"/>
                <w:b w:val="false"/>
                <w:i w:val="false"/>
                <w:caps w:val="false"/>
                <w:smallCaps w:val="false"/>
                <w:sz w:val="20"/>
              </w:rPr>
              <w:t>层</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19/F, Tower B, Xinsheng Plaza,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No.5 Financial Street, Xicheng District,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100032, China</w:t>
            </w:r>
          </w:p>
        </w:tc>
      </w:tr>
      <w:tr>
        <w:trPr/>
        <w:tc>
          <w:tcPr>
            <w:tcW w:w="3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+86 10 6657 8066</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guantao@guantao.com</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www.guantao.com</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bl>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792"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20"/>
        <w:gridCol w:w="312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 Power Limited</w:t>
            </w:r>
          </w:p>
        </w:tc>
      </w:tr>
      <w:tr>
        <w:trPr/>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2F, Zuoan 88 A, Lujiazui,</w:t>
            </w:r>
          </w:p>
        </w:tc>
      </w:tr>
      <w:tr>
        <w:trPr/>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Shanghai, People’s Republic of China</w:t>
            </w:r>
          </w:p>
        </w:tc>
      </w:tr>
    </w:tbl>
    <w:p>
      <w:pPr>
        <w:pStyle w:val="TextBody"/>
        <w:bidi w:val="0"/>
        <w:spacing w:before="0" w:after="0"/>
        <w:ind w:left="122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in U Power Limited’s registration statement on Form F-3 (together with any future amendments or supplements thereto, the “</w:t>
      </w: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val="false"/>
          <w:i w:val="false"/>
          <w:caps w:val="false"/>
          <w:smallCaps w:val="false"/>
          <w:sz w:val="20"/>
        </w:rPr>
        <w:t>which is filed with the U.S. Securities and Exchange Commission on the date hereof. We also consent to the filing of this consent letter with the U.S. Securities and Exchange Commission as an exhibit to the Registration Statement.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792" w:right="0" w:hanging="0"/>
        <w:jc w:val="both"/>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1775"/>
        <w:gridCol w:w="75"/>
      </w:tblGrid>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Guantao Law Firm</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Guantao Law Firm</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792" w:right="0" w:hanging="0"/>
        <w:jc w:val="right"/>
        <w:rPr>
          <w:rFonts w:ascii="Times New Roman;Times;Serif" w:hAnsi="Times New Roman;Times;Serif"/>
          <w:b/>
          <w:i w:val="false"/>
          <w:caps w:val="false"/>
          <w:smallCaps w:val="false"/>
          <w:sz w:val="24"/>
        </w:rPr>
      </w:pPr>
      <w:bookmarkStart w:id="27" w:name="ea030026201ex-fee.htm"/>
      <w:bookmarkStart w:id="28" w:name="ksea030026201exfee"/>
      <w:bookmarkEnd w:id="27"/>
      <w:bookmarkEnd w:id="2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 Power Limited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40"/>
        <w:gridCol w:w="60"/>
        <w:gridCol w:w="805"/>
        <w:gridCol w:w="60"/>
        <w:gridCol w:w="919"/>
        <w:gridCol w:w="60"/>
        <w:gridCol w:w="575"/>
        <w:gridCol w:w="60"/>
        <w:gridCol w:w="1104"/>
        <w:gridCol w:w="60"/>
        <w:gridCol w:w="1033"/>
        <w:gridCol w:w="60"/>
        <w:gridCol w:w="244"/>
        <w:gridCol w:w="769"/>
        <w:gridCol w:w="60"/>
        <w:gridCol w:w="142"/>
        <w:gridCol w:w="1299"/>
        <w:gridCol w:w="60"/>
        <w:gridCol w:w="1040"/>
        <w:gridCol w:w="60"/>
        <w:gridCol w:w="164"/>
        <w:gridCol w:w="1031"/>
      </w:tblGrid>
      <w:tr>
        <w:trPr/>
        <w:tc>
          <w:tcPr>
            <w:tcW w:w="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19"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3"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Class A Ordinary Shares,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9,756,100</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69" w:type="dxa"/>
            <w:tcBorders/>
            <w:vAlign w:val="center"/>
          </w:tcPr>
          <w:p>
            <w:pPr>
              <w:pStyle w:val="TableContents"/>
              <w:bidi w:val="0"/>
              <w:spacing w:before="0" w:after="283"/>
              <w:jc w:val="right"/>
              <w:rPr/>
            </w:pPr>
            <w:r>
              <w:rPr/>
              <w:t>0.97</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299" w:type="dxa"/>
            <w:tcBorders/>
            <w:vAlign w:val="center"/>
          </w:tcPr>
          <w:p>
            <w:pPr>
              <w:pStyle w:val="TableContents"/>
              <w:bidi w:val="0"/>
              <w:spacing w:before="0" w:after="283"/>
              <w:jc w:val="right"/>
              <w:rPr/>
            </w:pPr>
            <w:r>
              <w:rPr/>
              <w:t>9,463,417.00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1,306.90</w:t>
            </w:r>
          </w:p>
        </w:tc>
      </w:tr>
      <w:tr>
        <w:trPr/>
        <w:tc>
          <w:tcPr>
            <w:tcW w:w="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49"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299" w:type="dxa"/>
            <w:tcBorders/>
            <w:vAlign w:val="center"/>
          </w:tcPr>
          <w:p>
            <w:pPr>
              <w:pStyle w:val="TableContents"/>
              <w:bidi w:val="0"/>
              <w:spacing w:before="0" w:after="283"/>
              <w:jc w:val="right"/>
              <w:rPr/>
            </w:pPr>
            <w:r>
              <w:rPr/>
              <w:t>9,463,417.00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1,306.90</w:t>
            </w:r>
          </w:p>
        </w:tc>
      </w:tr>
      <w:tr>
        <w:trPr/>
        <w:tc>
          <w:tcPr>
            <w:tcW w:w="6349"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349"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49"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1,306.90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Pursuant to Rule 416(a) under the Securities Act of 1933, as amended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w:t>
              <w:br/>
              <w:br/>
              <w:t>As described in greater detail in the prospectus contained in this registration statement, the Class A Ordinary Shares to be offered for resale by selling shareholders include an aggregate of 9,756,100 Class A Ordinary Shares.</w:t>
              <w:br/>
              <w:br/>
              <w:t>Estimated solely for the purpose of calculating the registration fee pursuant to Rule 457(c) promulgated under the Securities Act, based upon the average of the high ($1.04) and low ($0.90) prices of the Class A Ordinary Shares as reported on the Nasdaq Capital Market on July 30, 2026, which is a date within five business days prior to the filing date of this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939780/000121390026057792/ea0290272-20f_upower.htm" TargetMode="External"/><Relationship Id="rId4" Type="http://schemas.openxmlformats.org/officeDocument/2006/relationships/hyperlink" Target="https://www.sec.gov/Archives/edgar/data/1939780/000121390026066520/ea0294005-6k_upower.htm" TargetMode="External"/><Relationship Id="rId5" Type="http://schemas.openxmlformats.org/officeDocument/2006/relationships/hyperlink" Target="https://www.sec.gov/Archives/edgar/data/1939780/000121390026078701/ea0298138-6k_upower.htm" TargetMode="External"/><Relationship Id="rId6" Type="http://schemas.openxmlformats.org/officeDocument/2006/relationships/hyperlink" Target="https://www.sec.gov/Archives/edgar/data/1939780/000121390026084610/ea0300254-6k_upower.htm" TargetMode="External"/><Relationship Id="rId7" Type="http://schemas.openxmlformats.org/officeDocument/2006/relationships/hyperlink" Target="http://www.sec.gov/Archives/edgar/data/1939780/000121390023025099/ea176095-8a12b_upowerltd.htm" TargetMode="External"/><Relationship Id="rId8" Type="http://schemas.openxmlformats.org/officeDocument/2006/relationships/hyperlink" Target="http://www.sec.gov/Archives/edgar/data/1939780/000121390024086269/ea021544301ex4-1_upower.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38780</Words>
  <Characters>202624</Characters>
  <CharactersWithSpaces>241841</CharactersWithSpaces>
  <Paragraphs>2853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