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138-6k_upower.htm"/>
      <w:bookmarkStart w:id="1" w:name="ksea02981386k_upow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2F, Zuoan 88 A, Lujiazui,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principal executive offices)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Jean Christophe Baron Von Pfetten (“Mr. Von Pfetten”) notified U Power Limited (the “Company”) of his resignation as (i) an independent director of the Company, (ii) a member of each of the audit committee, the compensation committee and the nominating and corporate governance committee of the board of directors of the Company (the “Board”), effective June 30, 2026. Mr. Von Pfetten has confirmed that his resignation was not the result of any disagreement with the Company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fill the vacancy created by the resignation of Mr. Von Pfetten, on June 29, 2026, the Board appointed Bo Lyu (“Mr. Lyu”) to serve as an independent director of the Company, effective July 1, 2026. The Board also appointed Mr. Lyu to serve as a member of each of the audit committee, the compensation committee and the nominating and corporate governance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Mr. Lyu qualifies as an independent director of the Company under the applicable rules of the Nasdaq Stock Market and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 Lyu has served as an independent director of the Company since July 2026. M</w:t>
      </w:r>
      <w:r>
        <w:rPr>
          <w:rFonts w:ascii="Times New Roman;Times;Serif" w:hAnsi="Times New Roman;Times;Serif"/>
          <w:b w:val="false"/>
          <w:i w:val="false"/>
          <w:caps w:val="false"/>
          <w:smallCaps w:val="false"/>
          <w:sz w:val="20"/>
          <w:shd w:fill="FFFFFF" w:val="clear"/>
        </w:rPr>
        <w:t xml:space="preserve">r. Lyu has over 10 years of experience in corporate financing and public company management. </w:t>
      </w:r>
      <w:r>
        <w:rPr>
          <w:rFonts w:ascii="Times New Roman;Times;Serif" w:hAnsi="Times New Roman;Times;Serif"/>
          <w:b w:val="false"/>
          <w:i w:val="false"/>
          <w:caps w:val="false"/>
          <w:smallCaps w:val="false"/>
          <w:sz w:val="20"/>
        </w:rPr>
        <w:t xml:space="preserve">Mr. Lyu served as financial controller at Building Dreamstar Technology Inc from August 2020 to October 2021. From December 2017 to April 2019, Mr. Lyu served as board secretary at Dragon Victory International Limited </w:t>
      </w:r>
      <w:r>
        <w:rPr>
          <w:rFonts w:ascii="Times New Roman;Times;Serif" w:hAnsi="Times New Roman;Times;Serif"/>
          <w:b w:val="false"/>
          <w:i w:val="false"/>
          <w:caps w:val="false"/>
          <w:smallCaps w:val="false"/>
          <w:sz w:val="20"/>
          <w:shd w:fill="FFFFFF" w:val="clear"/>
        </w:rPr>
        <w:t>(currently known as Metalpha Technology Holding Ltd) (Nasdaq: MATH).</w:t>
      </w:r>
      <w:r>
        <w:rPr>
          <w:rFonts w:ascii="Times New Roman;Times;Serif" w:hAnsi="Times New Roman;Times;Serif"/>
          <w:b w:val="false"/>
          <w:i w:val="false"/>
          <w:caps w:val="false"/>
          <w:smallCaps w:val="false"/>
          <w:sz w:val="20"/>
        </w:rPr>
        <w:t xml:space="preserve"> From 2014 to August 2017, Mr. Lyu served as board secretary at Hailiang Education Group Inc. </w:t>
      </w:r>
      <w:r>
        <w:rPr>
          <w:rFonts w:ascii="Times New Roman;Times;Serif" w:hAnsi="Times New Roman;Times;Serif"/>
          <w:b w:val="false"/>
          <w:i w:val="false"/>
          <w:caps w:val="false"/>
          <w:smallCaps w:val="false"/>
          <w:sz w:val="20"/>
          <w:shd w:fill="FFFFFF" w:val="clear"/>
        </w:rPr>
        <w:t>(formerly Nasdaq-listed: HLG, prior to its privatization in September 2022).</w:t>
      </w:r>
      <w:r>
        <w:rPr>
          <w:rFonts w:ascii="Times New Roman;Times;Serif" w:hAnsi="Times New Roman;Times;Serif"/>
          <w:b w:val="false"/>
          <w:i w:val="false"/>
          <w:caps w:val="false"/>
          <w:smallCaps w:val="false"/>
          <w:sz w:val="20"/>
        </w:rPr>
        <w:t xml:space="preserve"> From 2009 to 2013, Mr. Lyu served as investment manager at Hailiang Group Co. Ltd., </w:t>
      </w:r>
      <w:r>
        <w:rPr>
          <w:rFonts w:ascii="Times New Roman;Times;Serif" w:hAnsi="Times New Roman;Times;Serif"/>
          <w:b w:val="false"/>
          <w:i w:val="false"/>
          <w:caps w:val="false"/>
          <w:smallCaps w:val="false"/>
          <w:sz w:val="20"/>
          <w:shd w:fill="FFFFFF" w:val="clear"/>
        </w:rPr>
        <w:t>the then-parent company of Hailiang Education Group Inc., Zhejiang Hailiang Co. Ltd. (SSE Listed: 002203), and Hailiang International Holding Co. Ltd. (HKSE listed: 02336).</w:t>
      </w:r>
      <w:r>
        <w:rPr>
          <w:rFonts w:ascii="Times New Roman;Times;Serif" w:hAnsi="Times New Roman;Times;Serif"/>
          <w:b w:val="false"/>
          <w:i w:val="false"/>
          <w:caps w:val="false"/>
          <w:smallCaps w:val="false"/>
          <w:sz w:val="20"/>
        </w:rPr>
        <w:t xml:space="preserve"> Mr. Lyu received his master’s degree in finance from Albert-Ludwigs-Universität Freiburg in Germany in 2008 and his bachelor’s degree in international investment from Wuhan University in China in 2001.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Lyu and any director or executive officer of the Company. To the best knowledge of the Company, there is no understanding or arrangement between Mr. Lyu and any other person pursuant to which he was appointed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Lyu’s appointment, on July 1, 2026, the Company entered into an indemnification agreement with Mr. Lyu, pursuant to which the Company agreed to indemnify Mr. Lyu against certain liabilities and expenses incurred in connection with his service as a director of the Company. On July 2, 2026, the Company entered into an independent director agreement with Mr. Lyu, which sets forth the terms and conditions of Mr. Lyu’s service as an independent director of the Company. The foregoing descriptions of the indemnification agreement and the independent director agreement are qualified in their entirety by reference to the full text of such agreements, copies of which are filed as Exhibits 10.2 and 10.1, respectively, to this report on Form 6-K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is hereby incorporated by reference into the registration statements on Form F-3 of the Company (File Nos. </w:t>
      </w:r>
      <w:hyperlink r:id="rId2">
        <w:r>
          <w:rPr>
            <w:rStyle w:val="InternetLink"/>
            <w:rFonts w:ascii="Times New Roman;Times;Serif" w:hAnsi="Times New Roman;Times;Serif"/>
            <w:b w:val="false"/>
            <w:i w:val="false"/>
            <w:caps w:val="false"/>
            <w:smallCaps w:val="false"/>
            <w:sz w:val="20"/>
          </w:rPr>
          <w:t>333-296308</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333-282901</w:t>
        </w:r>
      </w:hyperlink>
      <w:r>
        <w:rPr>
          <w:rFonts w:ascii="Times New Roman;Times;Serif" w:hAnsi="Times New Roman;Times;Serif"/>
          <w:b w:val="false"/>
          <w:i w:val="false"/>
          <w:caps w:val="false"/>
          <w:smallCaps w:val="false"/>
          <w:sz w:val="20"/>
        </w:rPr>
        <w:t>) and shall be deemed to be a part thereof from the date on which this report is filed, to the extent not superseded by documents or reports subsequently filed or furnished.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shd w:fill="FEFEFE" w:val="clear"/>
            <w:vAlign w:val="center"/>
          </w:tcPr>
          <w:p>
            <w:pPr>
              <w:pStyle w:val="TableContents"/>
              <w:bidi w:val="0"/>
              <w:spacing w:before="0" w:after="283"/>
              <w:jc w:val="left"/>
              <w:rPr>
                <w:b/>
                <w:sz w:val="20"/>
              </w:rPr>
            </w:pPr>
            <w:r>
              <w:rPr>
                <w:b/>
                <w:sz w:val="20"/>
              </w:rPr>
              <w:t>Exhibit No.</w:t>
            </w:r>
          </w:p>
        </w:tc>
        <w:tc>
          <w:tcPr>
            <w:tcW w:w="60" w:type="dxa"/>
            <w:tcBorders/>
            <w:shd w:fill="FEFEFE" w:val="clear"/>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shd w:fill="FEFEFE" w:val="clear"/>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813801ex10-1.htm">
              <w:r>
                <w:rPr>
                  <w:rStyle w:val="InternetLink"/>
                  <w:sz w:val="20"/>
                </w:rPr>
                <w:t>English Translation of the Independent Director Agreement entered into by and between the Company and Mr. Bo Lyu, dated July 2,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813801ex10-2.htm">
              <w:r>
                <w:rPr>
                  <w:rStyle w:val="InternetLink"/>
                  <w:sz w:val="20"/>
                </w:rPr>
                <w:t>Indemnification Agreement entered into by and between the Company and Mr. Bo Lyu, dated July 1,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16,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b/>
                <w:sz w:val="20"/>
              </w:rPr>
            </w:pPr>
            <w:r>
              <w:rPr>
                <w:b/>
                <w:sz w:val="20"/>
              </w:rPr>
              <w:t>U Power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Jia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Jia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ind w:left="0" w:right="0" w:hanging="0"/>
        <w:jc w:val="right"/>
        <w:rPr>
          <w:b/>
        </w:rPr>
      </w:pPr>
      <w:bookmarkStart w:id="2" w:name="ea029813801ex10-1.htm"/>
      <w:bookmarkStart w:id="3" w:name="ksea029813801ex101"/>
      <w:bookmarkEnd w:id="2"/>
      <w:bookmarkEnd w:id="3"/>
      <w:r>
        <w:rPr>
          <w:b/>
        </w:rPr>
        <w:t>Exhibit 10.1</w:t>
      </w:r>
      <w:r>
        <w:br w:type="page"/>
      </w:r>
    </w:p>
    <w:p>
      <w:pPr>
        <w:pStyle w:val="TextBody"/>
        <w:bidi w:val="0"/>
        <w:ind w:left="0" w:right="0" w:hanging="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Director Appointment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executed by the following two parties on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U Power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McGrath Tonner Corporate Services Limited, Genesis Building, 5th Floor Floor, Genesis Close,PO Box 446,Cayman Islands,KY1-1106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Lü 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Number: 420104197812253312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902, Building 5, Modern Jingyuan, Gongshu District, Hangzhou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each of the aforementioned parties is referred to as “one party” individually, and collectively as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in view of </w:t>
      </w:r>
      <w:r>
        <w:rPr>
          <w:rFonts w:eastAsia="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 (hereinafter referred to as the “Employer” or the “Company”), for the purpose of its listing on the U.S. stock market and in compliance with applicable laws and regulations, has appointed Lü Bo (hereinafter referred to as the “Appointed Party”) as an independent director of the Employer. Pursuant to relevant legal provisions, the Appointed Party was elected as an independent director of U Power Limited by resolution of the Company’s shareholders’ meeting held on July 1, 2026. Accordingly, both parties have entered into this agreement through friendly consultation as a voluntary commitment to uphold its terms.</w:t>
      </w:r>
    </w:p>
    <w:p>
      <w:pPr>
        <w:pStyle w:val="TextBody"/>
        <w:bidi w:val="0"/>
        <w:spacing w:before="0" w:after="0"/>
        <w:ind w:left="0" w:right="0" w:firstLine="72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5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I.</w:t>
            </w:r>
          </w:p>
        </w:tc>
        <w:tc>
          <w:tcPr>
            <w:tcW w:w="3860" w:type="dxa"/>
            <w:tcBorders/>
            <w:vAlign w:val="center"/>
          </w:tcPr>
          <w:p>
            <w:pPr>
              <w:pStyle w:val="TableContents"/>
              <w:bidi w:val="0"/>
              <w:spacing w:before="0" w:after="283"/>
              <w:jc w:val="left"/>
              <w:rPr/>
            </w:pPr>
            <w:r>
              <w:rPr/>
              <w:t>Term of Service for the Appointed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appointed party shall serve as an independent director for the employing party for a term of six months, commencing on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shall remain in effect until the shareholders’ meeting elects a new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special reasons, the employing party is unable to convene a shareholders’ meeting to elect a new board of directors before the expiration of the term specified in the preceding paragraph, the appointed officer shall continue to perform the duties, exercise the rights, and fulfill the obligations of an independent director until the date when the new board of directors is elected by the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expiration of an independent director’s term, the appointee may be re-elected for consecutive terms, but the total duration of re-elections shall not exceed six years.</w:t>
      </w:r>
    </w:p>
    <w:p>
      <w:pPr>
        <w:pStyle w:val="TextBody"/>
        <w:bidi w:val="0"/>
        <w:spacing w:before="0" w:after="0"/>
        <w:ind w:left="720" w:right="0" w:hanging="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4400" w:type="dxa"/>
            <w:tcBorders/>
            <w:vAlign w:val="center"/>
          </w:tcPr>
          <w:p>
            <w:pPr>
              <w:pStyle w:val="TableContents"/>
              <w:bidi w:val="0"/>
              <w:spacing w:before="0" w:after="283"/>
              <w:jc w:val="left"/>
              <w:rPr/>
            </w:pPr>
            <w:r>
              <w:rPr/>
              <w:t>Rights and Obligations of the Employed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appointee shall comply with the laws, regulations, and Articles of Association of the employer’ s place of registration, act in good faith, and exercise due diligence. The appointee hereby undertakes to meet all qualification requirements for serving as an independent director under the applicable laws, regulations, Articles of Association, and other relevant provisions, as well as the eligibility criteria set by the U.S. Securities and Exchange Commission and stock exchanges for independent directors of listed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appointed party shall attend the board meetings of the appointing entity and, in accordance with the Company’s Articles of Association and the relevant regulations of the U.S. SEC and stock exchanges regarding independent directors of listed companies, express opinions and participate in voting on proposals. The appointed party must attend board meetings in person; if unable to do so for any reason, they may authorize another director to attend on their behalf, provided that the power of attorney clearly specifies the scope of authority. Under no circumstances may the appointed party fail to attend board meetings in person for three consecutive instances; otherwise, the appointing entity’s board may request the shareholders’ meeting to remove them from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Before the expiration of the appointed party’s term as an independent director with the appointing entity, if the appointed party no longer meets the qualification requirements for independent directors under the laws and regulations of its place of registration, the Company’s Articles of Association, or other relevant provisions, or fails to comply with the qualification requirements set by the U.S. SEC and stock exchanges for independent directors of listed companies, the appointing entity’s board of directors may request the shareholders’ meeting to replace the appointee.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appointee has the right to receive work-related funds from the employer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appointee shall safeguard the interests of the employer and must not utilize their position or authority within the employer to seek benefits beyond those specified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risks that may arise from the employing party’s normal performance of its duties in accordance with the Company’s Articles of Association and the provisions of this Agreement shall be borne by the employing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appointing party assumes responsibility.</w:t>
      </w:r>
    </w:p>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305"/>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3890" w:type="dxa"/>
            <w:tcBorders/>
            <w:vAlign w:val="center"/>
          </w:tcPr>
          <w:p>
            <w:pPr>
              <w:pStyle w:val="TableContents"/>
              <w:bidi w:val="0"/>
              <w:spacing w:before="0" w:after="283"/>
              <w:jc w:val="left"/>
              <w:rPr/>
            </w:pPr>
            <w:r>
              <w:rPr/>
              <w:t>Compensation for Independent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Effective July 1, 2026, the company intends to pay the appointed personnel a monthly salary of RMB 12,000.00, with the compensation standard subject to approval by the company’s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remuneration of independent directors shall be paid monthly. The company shall pay the previous month’s remuneration on the 28th of each month, after this contract takes effect and following approval by the shareholders’ meeting of the remuneration standards for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In addition to the above requirements, independent directors shall not obtain any additional undisclosed benefits from the company, its shareholders, or any other entities or individuals with a conflict of interest with the company.</w:t>
      </w:r>
    </w:p>
    <w:p>
      <w:pPr>
        <w:pStyle w:val="TextBody"/>
        <w:bidi w:val="0"/>
        <w:spacing w:before="0" w:after="0"/>
        <w:ind w:left="0" w:right="0" w:firstLine="364"/>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33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IV.</w:t>
            </w:r>
          </w:p>
        </w:tc>
        <w:tc>
          <w:tcPr>
            <w:tcW w:w="4910" w:type="dxa"/>
            <w:tcBorders/>
            <w:vAlign w:val="center"/>
          </w:tcPr>
          <w:p>
            <w:pPr>
              <w:pStyle w:val="TableContents"/>
              <w:bidi w:val="0"/>
              <w:spacing w:before="0" w:after="283"/>
              <w:jc w:val="left"/>
              <w:rPr/>
            </w:pPr>
            <w:r>
              <w:rPr/>
              <w:t>Entry into Force and Termination of the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become effective upon being duly executed and sealed by both parties. The Appointed Party may submit a written resignation letter (hereinafter referred to as the “Resignation Letter”) to the Board of Directors of the Employing Party prior to the expiration of its term, providing explanations regarding any matters related to its resignation or those it deems necessary to draw the attention of the Company’s shareholders and creditors. Upon approval by the Shareholders’ Meeting of the Employing Party, this Agreement shall terminate. Prior to such termination, the Appointed Party shall continue to perform the duties of an independent director and other obligations stipulated herein, provided that such performance shall be subject to necessary and reasonable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resignation of an appointed party from their position as an independent director results in the number of directors on the appointing party’s board falling below the minimum requirements stipulated by the laws and regulations of the place of registration, the Company’s Articles of Association, or the U. S. Securities and Exchange Commission (SEC) and stock exchanges; or if it causes the proportion of independent directors on the board to fall below such minimum requirements, this Agreement shall terminate upon the resignation taking effect after the next director or independent director fills the vacancy. The appointed party shall continue to perform their duties as an independent director under this Agreement, provided that such performance is subject to necessary and reasonable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appointed party shall not continue to exercise any rights or duties related to independent directors under this Agreement when any of the following circumstances occurs; upon approval by the shareholders’ meeting of the appointing party, the appointed party shall cease serving as an independent director for the appointing party, and this Agreement shall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appointee has been sentenced to criminal punishment.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appointee has been designated as a market entry prohibited individual by the competent securities regulatory authority (including those with jurisdiction over the exchange where the company is listed) to prevent objections.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accordance with the relevant laws and regulations of the place of registration and the provisions of the Company’s Articles of Association, the appointee shall not serve as a director or independent director of the employing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accordance with the relevant regulations of the exchange where the company is listed, the country of its domicile, and the securities regulatory authorities with jurisdiction over it, the appointee shall not serve as a director or independent director of the employing entity under any other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close relative of the appointee (including parents, spouse, children and their spouses, siblings, etc.) or any other interested party becomes a senior executive of the appointing party or an affiliated party, the appointee shall promptly submit a written explanation to the appointing party and tender their resignation; they shall cease exercising all rights and duties related to independent directors as stipulated in this Agreement. Upon approval by the shareholders’ meeting of the appointing party, the appointee shall no longer serve as an independent director of the appointing party, and this Agreement shall terminate.</w:t>
      </w:r>
    </w:p>
    <w:p>
      <w:pPr>
        <w:pStyle w:val="TextBody"/>
        <w:bidi w:val="0"/>
        <w:spacing w:before="0" w:after="0"/>
        <w:ind w:left="0" w:right="0" w:firstLine="72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26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w:t>
            </w:r>
          </w:p>
        </w:tc>
        <w:tc>
          <w:tcPr>
            <w:tcW w:w="2000" w:type="dxa"/>
            <w:tcBorders/>
            <w:vAlign w:val="center"/>
          </w:tcPr>
          <w:p>
            <w:pPr>
              <w:pStyle w:val="TableContents"/>
              <w:bidi w:val="0"/>
              <w:spacing w:before="0" w:after="283"/>
              <w:jc w:val="left"/>
              <w:rPr/>
            </w:pPr>
            <w:r>
              <w:rPr/>
              <w:t>Agreement Conflicts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any agreement signed by both parties and the provisions of this Agreement, this Agreement shall prevail.</w:t>
      </w:r>
    </w:p>
    <w:p>
      <w:pPr>
        <w:pStyle w:val="TextBody"/>
        <w:bidi w:val="0"/>
        <w:spacing w:before="0" w:after="0"/>
        <w:ind w:left="0" w:right="0" w:hanging="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335"/>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VI.</w:t>
            </w:r>
          </w:p>
        </w:tc>
        <w:tc>
          <w:tcPr>
            <w:tcW w:w="3020" w:type="dxa"/>
            <w:tcBorders/>
            <w:vAlign w:val="center"/>
          </w:tcPr>
          <w:p>
            <w:pPr>
              <w:pStyle w:val="TableContents"/>
              <w:bidi w:val="0"/>
              <w:spacing w:before="0" w:after="283"/>
              <w:jc w:val="left"/>
              <w:rPr/>
            </w:pPr>
            <w:r>
              <w:rPr/>
              <w:t>Liability for Breach of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to this Agreement that fails to fulfill its obligations shall be deemed in breach. The breaching party shall be liable for compensating the non-breaching party for any losses incurred as a result of such breach.</w:t>
      </w:r>
    </w:p>
    <w:p>
      <w:pPr>
        <w:pStyle w:val="TextBody"/>
        <w:bidi w:val="0"/>
        <w:spacing w:before="0" w:after="0"/>
        <w:ind w:left="0" w:right="0" w:firstLine="479"/>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41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w:t>
            </w:r>
          </w:p>
        </w:tc>
        <w:tc>
          <w:tcPr>
            <w:tcW w:w="2195" w:type="dxa"/>
            <w:tcBorders/>
            <w:vAlign w:val="center"/>
          </w:tcPr>
          <w:p>
            <w:pPr>
              <w:pStyle w:val="TableContents"/>
              <w:bidi w:val="0"/>
              <w:spacing w:before="0" w:after="283"/>
              <w:jc w:val="left"/>
              <w:rPr/>
            </w:pPr>
            <w:r>
              <w:rPr/>
              <w:t>Resolution of Disputes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arising from or related to the execution of this Agreement shall be resolved through friendly consultations between the parties. If the parties fail to resolve such disputes through friendly consultations, either party may file a lawsuit with the People’s Court at the company’s place of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text follows; this is the signature page)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contains no text; it is the signing page for the “Independent Director Appointment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UPower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drawing>
          <wp:inline distT="0" distB="0" distL="0" distR="0">
            <wp:extent cx="90487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904875" cy="9239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Lü 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drawing>
          <wp:inline distT="0" distB="0" distL="0" distR="0">
            <wp:extent cx="5143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514350" cy="4191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4" w:name="ea029813801ex10-2.htm"/>
      <w:bookmarkStart w:id="5" w:name="ksea029813801ex102"/>
      <w:bookmarkEnd w:id="4"/>
      <w:bookmarkEnd w:id="5"/>
      <w:r>
        <w:rPr>
          <w:b/>
        </w:rPr>
        <w:t>Exhibit 10.2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July 1, 2026 by and between U Power Ltd, a Cayman Islands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undersigned, a director and/or an officer of the Company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has determined that the inability to attract and retain highly competent persons to serve the Company is detrimental to the best interests of the Company and its shareholders and that it is reasonable and necessary for the Company to provide adequate protection to such persons against risks of claims and actions against them arising out of their services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covenants contained herein and subject to the Company’s memorandum and articles of association, as may be amended from time to time, the Company and Indemnitee do hereby covenant and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have the meanings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xml:space="preserve"> shall include, without limitation, damages, judgments, fines, penalties, settlements and costs, attorneys’ fees and disbursements and costs of attachment or similar bond, investigations, and any other expenses paid or incurred in connection with investigating, defending, being a witness in, participating in (including on appeal), or preparing for any of the foregoing in, any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Indemnifiable Event</w:t>
      </w:r>
      <w:r>
        <w:rPr>
          <w:rFonts w:ascii="Times New Roman;Times;Serif" w:hAnsi="Times New Roman;Times;Serif"/>
          <w:b w:val="false"/>
          <w:i w:val="false"/>
          <w:caps w:val="false"/>
          <w:smallCaps w:val="false"/>
          <w:sz w:val="20"/>
        </w:rPr>
        <w:t xml:space="preserve"> means any event or occurrence that takes place after the execution of this Agreement, related to the fact that Indemnitee is or was a director or an officer of the Company, or is or was serving at the request of the Company as a director or officer of another corporation, partnership, joint venture or other entity, or related to anything done or not done by Indemnitee in any such capacity; provided, however, that an Indemnifiable Event shall not include any event or occurrence that arises as a result of the Indemnitee’s neglect, fraud, reckless or willful misconduct, breach of duty, error, misstatement, misleading statement or omission.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means a person who is a party to, or witness or participant (including on appeal) in, a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xml:space="preserve"> means any threatened, pending, or completed action, suit, arbitration or proceeding, or any inquiry, hearing or investigation, whether civil, criminal, administrative, investigative or other, including appeal, in which Indemnitee may be or may have been involved as a party or otherwise by reason of an Indemnifiable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AGREEMENT TO INDEMNIFY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 Agreement</w:t>
      </w:r>
      <w:r>
        <w:rPr>
          <w:rFonts w:ascii="Times New Roman;Times;Serif" w:hAnsi="Times New Roman;Times;Serif"/>
          <w:b w:val="false"/>
          <w:i w:val="false"/>
          <w:caps w:val="false"/>
          <w:smallCaps w:val="false"/>
          <w:sz w:val="20"/>
        </w:rPr>
        <w:t>. In the event Indemnitee was, is, or becomes a Participant in, or is threatened to be made a Participant in, a Proceeding, the Company shall indemnify the Indemnitee from and against any and all Expenses which Indemnitee incurs or becomes obligated to incur in connection with such Proceeding, to the fullest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Indemnification of Expenses of Successful Party</w:t>
      </w:r>
      <w:r>
        <w:rPr>
          <w:rFonts w:ascii="Times New Roman;Times;Serif" w:hAnsi="Times New Roman;Times;Serif"/>
          <w:b w:val="false"/>
          <w:i w:val="false"/>
          <w:caps w:val="false"/>
          <w:smallCaps w:val="false"/>
          <w:sz w:val="20"/>
        </w:rPr>
        <w:t>. Notwithstanding any other provision of this Agreement, to the extent that Indemnitee has been successful on the merits in defense of any Proceeding or in defense of any claim, issue or matter in such Proceeding, the Company shall indemnify Indemnitee against all Expenses incurred in connection with such Proceeding or such claim, issue or matter,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Partial Indemnification</w:t>
      </w:r>
      <w:r>
        <w:rPr>
          <w:rFonts w:ascii="Times New Roman;Times;Serif" w:hAnsi="Times New Roman;Times;Serif"/>
          <w:b w:val="false"/>
          <w:i w:val="false"/>
          <w:caps w:val="false"/>
          <w:smallCaps w:val="false"/>
          <w:sz w:val="20"/>
        </w:rPr>
        <w:t>. If Indemnitee is entitled under any provision of this Agreement to indemnification by the Company for a portion of Expenses, but not for the total amount of Expenses, the Company shall indemnify the Indemnitee for the portion of such Expenses to which Indemnitee is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Employment Rights</w:t>
      </w:r>
      <w:r>
        <w:rPr>
          <w:rFonts w:ascii="Times New Roman;Times;Serif" w:hAnsi="Times New Roman;Times;Serif"/>
          <w:b w:val="false"/>
          <w:i w:val="false"/>
          <w:caps w:val="false"/>
          <w:smallCaps w:val="false"/>
          <w:sz w:val="20"/>
        </w:rPr>
        <w:t>. Nothing in this Agreement is intended to create in Indemnitee any right to continued employment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in this Agreement is unavailable and may not be paid to Indemnitee for any reason other than those set forth in Section B.3, then the Company shall contribute to the amount of Expenses paid in settlement actually and reasonably incurred and paid or payable by Indemnitee in such proportion as is appropriate to reflect (i) the relative benefits received by the Company on the one hand and by the Indemnitee on the other hand from the transaction or events from which such Proceeding arose, and (ii) the relative fault of the Company on the one hand and of the Indemnitee on the other hand in connection with the events which resulted in such Expenses, as well as any other relevant equitable considerations. The relative fault of the Company on the one hand and of the Indemnitee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B.5 were determined by pro rata allocation or any other method of allocation which does not take account of the foregoing equitable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INDEMNIFICATION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Notice and Cooperation by Indemnitee</w:t>
      </w:r>
      <w:r>
        <w:rPr>
          <w:rFonts w:ascii="Times New Roman;Times;Serif" w:hAnsi="Times New Roman;Times;Serif"/>
          <w:b w:val="false"/>
          <w:i w:val="false"/>
          <w:caps w:val="false"/>
          <w:smallCaps w:val="false"/>
          <w:sz w:val="20"/>
        </w:rPr>
        <w:t>. Indemnitee shall, as a condition precedent to his/her right to be indemnified under this Agreement, give the Company notice in writing as soon as practicable of any claim made against Indemnitee for which indemnification will or could be sought under this Agreement, provided that the delay of Indemnitee to give notice hereunder shall not prejudice any of Indemnitee’s rights hereunder, unless such delay results in the Company’s forfeiture of substantive rights or defenses. Notice to the Company shall be given in accordance with Section F.7 below. If, at the time of receipt of such notice, the Company has directors’ and officers’ liability insurance policies in effect, the Company shall give prompt notice to its insurers of the Proceeding relating to the notice. The Company shall thereafter take all necessary and desirable actions to cause such insurers to pay, on behalf of Indemnitee, all Expenses payable as a result of such Proceeding. In addition, Indemnitee shall give the Company such information and cooperation as the Company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Indemnification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Advancement of Expenses</w:t>
      </w:r>
      <w:r>
        <w:rPr>
          <w:rFonts w:ascii="Times New Roman;Times;Serif" w:hAnsi="Times New Roman;Times;Serif"/>
          <w:b w:val="false"/>
          <w:i w:val="false"/>
          <w:caps w:val="false"/>
          <w:smallCaps w:val="false"/>
          <w:sz w:val="20"/>
        </w:rPr>
        <w:t>. Indemnitee may submit a written request with reasonable particulars to the Company requesting that the Company advance to Indemnitee all Expenses that may be reasonably incurred in advance by Indemnitee in connection with a Proceeding. The Company shall, within 10 business days of receiving such a written request by Indemnitee, advance all requested Expenses to Indemnitee. Any excess of the advanced Expenses over the actual Expenses will be repaid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Reimbursement of Expenses</w:t>
      </w:r>
      <w:r>
        <w:rPr>
          <w:rFonts w:ascii="Times New Roman;Times;Serif" w:hAnsi="Times New Roman;Times;Serif"/>
          <w:b w:val="false"/>
          <w:i w:val="false"/>
          <w:caps w:val="false"/>
          <w:smallCaps w:val="false"/>
          <w:sz w:val="20"/>
        </w:rPr>
        <w:t>. To the extent Indemnitee has not requested any advanced payment of Expenses from the Company, Indemnitee shall be entitled to receive reimbursement for the Expenses incurred in connection with a Proceeding from the Company immediately after Indemnitee makes a written request to the Company for reimbursement unless the Company refers the indemnification request to the Reviewing Party in compliance with Section C.2(c)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Determination by the Reviewing Party</w:t>
      </w:r>
      <w:r>
        <w:rPr>
          <w:rFonts w:ascii="Times New Roman;Times;Serif" w:hAnsi="Times New Roman;Times;Serif"/>
          <w:b w:val="false"/>
          <w:i w:val="false"/>
          <w:caps w:val="false"/>
          <w:smallCaps w:val="false"/>
          <w:sz w:val="20"/>
        </w:rPr>
        <w:t>. If the Company reasonably believes that it is not obligated under this Agreement to indemnify the Indemnitee, the Company shall, within 10 days after the Indemnitee’s written request for an advancement or reimbursement of Expenses, notify the Indemnitee that the request for advancement of Expenses or reimbursement of Expenses will be submitted to the Reviewing Party (as hereinafter defined). The Reviewing Party shall make a determination on the request within 30 days after the Indemnitee’s written request for an advancement or reimbursement of Expenses. Notwithstanding anything foregoing to the contrary, in the event the Reviewing Party informs the Company that Indemnitee is not entitled to indemnification in connection with a Proceeding under this Agreement or applicable law, the Company shall be entitled to be reimbursed by Indemnitee for all the Expenses previously advanced or otherwise paid to Indemnitee in connection with such Proceeding; p</w:t>
      </w:r>
      <w:r>
        <w:rPr>
          <w:rFonts w:ascii="Times New Roman;Times;Serif" w:hAnsi="Times New Roman;Times;Serif"/>
          <w:b w:val="false"/>
          <w:i w:val="false"/>
          <w:caps w:val="false"/>
          <w:smallCaps w:val="false"/>
          <w:sz w:val="20"/>
          <w:u w:val="single"/>
        </w:rPr>
        <w:t>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Indemnitee may bring a suit to enforce his/her indemnification right in accordance with Section C.3 below.</w:t>
      </w:r>
    </w:p>
    <w:p>
      <w:pPr>
        <w:pStyle w:val="TextBody"/>
        <w:bidi w:val="0"/>
        <w:spacing w:before="0" w:after="0"/>
        <w:ind w:left="1143" w:right="0" w:firstLine="720"/>
        <w:jc w:val="both"/>
        <w:rPr>
          <w:caps w:val="false"/>
          <w:smallCaps w:val="false"/>
        </w:rPr>
      </w:pPr>
      <w:r>
        <w:rPr>
          <w:caps w:val="false"/>
          <w:smallCaps w:val="false"/>
        </w:rPr>
        <w:t> </w:t>
      </w:r>
    </w:p>
    <w:p>
      <w:pPr>
        <w:pStyle w:val="TextBody"/>
        <w:bidi w:val="0"/>
        <w:spacing w:before="0" w:after="0"/>
        <w:ind w:left="1143"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143"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Suit to Enforce Rights</w:t>
      </w:r>
      <w:r>
        <w:rPr>
          <w:rFonts w:ascii="Times New Roman;Times;Serif" w:hAnsi="Times New Roman;Times;Serif"/>
          <w:b w:val="false"/>
          <w:i w:val="false"/>
          <w:caps w:val="false"/>
          <w:smallCaps w:val="false"/>
          <w:sz w:val="20"/>
        </w:rPr>
        <w:t>. Regardless of any action by the Reviewing Party, if Indemnitee has not received full indemnification within 30 days after making a written demand in accordance with Section C.2 above or 50 days if the Company submits a request for advancement or reimbursement to the Reviewing Party under Section C.2(c) above, Indemnitee shall have the right to enforce his/her indemnification rights under this Agreement by commencing litigation in any court of competent jurisdiction seeking a determination by the court or challenging any determination by the Reviewing Party or any aspect of this Agreement. Any determination by the Reviewing Party not challenged by Indemnitee and any judgment entered by the court shall be binding on the Company and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Assumption of Defense</w:t>
      </w:r>
      <w:r>
        <w:rPr>
          <w:rFonts w:ascii="Times New Roman;Times;Serif" w:hAnsi="Times New Roman;Times;Serif"/>
          <w:b w:val="false"/>
          <w:i w:val="false"/>
          <w:caps w:val="false"/>
          <w:smallCaps w:val="false"/>
          <w:sz w:val="20"/>
        </w:rPr>
        <w:t>. In the event the Company is obligated under this Agreement to advance or bear any Expenses for any Proceeding against Indemnitee, the Company shall be entitled to assume the defense of such Proceeding, with counsel approved by Indemnitee, upon delivery to Indemnitee of written notice of its election to do so.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unless (i) the employment of counsel by Indemnitee has been previously authorized by the Company, (ii) Indemnitee shall have reasonably concluded, based on written advice of counsel, that there may be a conflict of interest of such counsel retained by the Company between the Company and Indemnitee in the conduct of any such defense, or (iii) the Company ceases or terminates the employment of such counsel with respect to the defense of such Proceeding, in any of which events the fees and expenses of Indemnitee’s counsel shall be at the expense of the Company. At all times, Indemnitee shall have the right to employ counsel in any Proceeding at Indemnitee’s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Defense to Indemnification, Burden of Proof and Presumptions</w:t>
      </w:r>
      <w:r>
        <w:rPr>
          <w:rFonts w:ascii="Times New Roman;Times;Serif" w:hAnsi="Times New Roman;Times;Serif"/>
          <w:b w:val="false"/>
          <w:i w:val="false"/>
          <w:caps w:val="false"/>
          <w:smallCaps w:val="false"/>
          <w:sz w:val="20"/>
        </w:rPr>
        <w:t>. It shall be a defense to any action brought by Indemnitee against the Company to enforce this Agreement that it is not permissible under this Agreement or applicable law for the Company to indemnify the Indemnitee for the amount claimed. In connection with any such action or any determination by the Reviewing Party or otherwise as to whether Indemnitee is entitled to be indemnified under this Agreement, the burden of proving such a defense or determination shall be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 Settlement without Consent</w:t>
      </w:r>
      <w:r>
        <w:rPr>
          <w:rFonts w:ascii="Times New Roman;Times;Serif" w:hAnsi="Times New Roman;Times;Serif"/>
          <w:b w:val="false"/>
          <w:i w:val="false"/>
          <w:caps w:val="false"/>
          <w:smallCaps w:val="false"/>
          <w:sz w:val="20"/>
        </w:rPr>
        <w:t>. Neither party to this Agreement shall settle any Proceeding in any manner that would impose any damage, loss, penalty or limitation on Indemnitee without the other party’s written consent. Neither the Company nor Indemnitee shall unreasonably withhold its consent to any proposed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Company Participation</w:t>
      </w:r>
      <w:r>
        <w:rPr>
          <w:rFonts w:ascii="Times New Roman;Times;Serif" w:hAnsi="Times New Roman;Times;Serif"/>
          <w:b w:val="false"/>
          <w:i w:val="false"/>
          <w:caps w:val="false"/>
          <w:smallCaps w:val="false"/>
          <w:sz w:val="20"/>
        </w:rPr>
        <w:t>. Subject to Section B.5, the Company shall not be liable to indemnify the Indemnitee under this Agreement with regard to any judicial action if the Company was not given a reasonable and timely opportunity, at its expense, to participate in the defense, conduct and/or settlement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Reviewing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the Reviewing Party with respect to each indemnification request of Indemnitee that is referred by the Company pursuant to Section C.2(c) above shall be (A) the Board of Directors by a majority vote of a quorum consisting of Disinterested Directors (as hereinafter defined), or (B) if a quorum of the Board of Directors consisting of Disinterested Directors is not obtainable or, even if obtainable, said Disinterested Directors so direct, by Independent Counsel in a written opinion to the Board of Directors, a copy of which shall be delivered to Indemnitee. If the Reviewing Party determines that Indemnitee is entitled to indemnification, payment to Indemnitee shall be made within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of Directors shall act reasonably and in good faith in making a determination under this Agreement of the Indemnitee’s entitlement to indemnification. Any reasonable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r>
        <w:rPr>
          <w:rFonts w:ascii="Times New Roman;Times;Serif" w:hAnsi="Times New Roman;Times;Serif"/>
          <w:b w:val="false"/>
          <w:i w:val="false"/>
          <w:caps w:val="false"/>
          <w:smallCaps w:val="false"/>
          <w:sz w:val="20"/>
          <w:u w:val="single"/>
        </w:rPr>
        <w:t>Disinterested</w:t>
      </w:r>
      <w:r>
        <w:rPr>
          <w:rFonts w:ascii="Times New Roman;Times;Serif" w:hAnsi="Times New Roman;Times;Serif"/>
          <w:b w:val="false"/>
          <w:i w:val="false"/>
          <w:caps w:val="false"/>
          <w:smallCaps w:val="false"/>
          <w:sz w:val="20"/>
        </w:rPr>
        <w:t xml:space="preserve"> Director” means a director of the Company who is not and was not a party to the Proceeding in respect of which indemnification is sought by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determination of entitlement to indemnification is to be made by Independent Counsel, the Independent Counsel shall be selected as provided in this Section C.8(b). The Independent Counsel shall be selected by Indemnitee (unless Indemnitee shall request that such selection be made by the Board of Directors, in which event the preceding sentence shall apply), and Indemnitee shall give written notice to the Company advising it of the identity of the Independent Counsel so selected. In either event, Indemnitee or the Company, as the case may be, may, within 10 days after such written notice of selection shall have been given, deliver to the Company or to Indemnitee, as the case may be, a written objection to such selection;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objection may be asserted only on the ground that the Independent Counsel so selected does not meet the requirements of “</w:t>
      </w:r>
      <w:r>
        <w:rPr>
          <w:rFonts w:ascii="Times New Roman;Times;Serif" w:hAnsi="Times New Roman;Times;Serif"/>
          <w:b w:val="false"/>
          <w:i w:val="false"/>
          <w:caps w:val="false"/>
          <w:smallCaps w:val="false"/>
          <w:sz w:val="20"/>
          <w:u w:val="single"/>
        </w:rPr>
        <w:t>Independent Counsel</w:t>
      </w:r>
      <w:r>
        <w:rPr>
          <w:rFonts w:ascii="Times New Roman;Times;Serif" w:hAnsi="Times New Roman;Times;Serif"/>
          <w:b w:val="false"/>
          <w:i w:val="false"/>
          <w:caps w:val="false"/>
          <w:smallCaps w:val="false"/>
          <w:sz w:val="20"/>
        </w:rPr>
        <w:t>” as defined in Section C.8(d)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The Company shall pay any and all reasonable fees and expenses of Independent Counsel incurred by such Independent Counsel in connection with acting under this Agreement, and the Company shall pay all reasonable fees and expenses incident to the procedures of this Section C.8(b), regardless of the manner in which such Independent Counsel was selected or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making a determination with respect to entitlement to indemnification hereunder, the Reviewing Party shall presume that Indemnitee is entitled to indemnification under this Agreement if Indemnitee has submitted a request for indemnification in accordance with this Agreement, and the Company shall have the burden of proof to overcome that presumption in connection with the making by any person, persons or entity of any determination contrary to that presumption. The termination of any Proceeding or of any claim, issue or matter therein, by judgment, order, settlement (with or without court approval), conviction, or upon a plea of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he/she reasonably believed to be in or not opposed to the best interests of the Company or, with respect to any criminal Proceeding, that Indemnitee had reasonable cause to believe that his/her conduct was unlawful. For purposes of any determination of good faith, Indemnitee shall be deemed to have acted in good faith if Indemnitee’s action is based on the records or books of account of the Company and any other corporation, partnership, joint venture or other entity of which Indemnitee is or was serving at the written request of the Company as a director, officer, employee, agent or fiduciary, including financial statements, or on information supplied to Indemnitee by the officers and directors of the Company or such other corporation, partnership, joint venture or other entity in the course of their duties, or on the advice of legal counsel for the Company or such other corporation, partnership, joint venture or other entity or on information or records given or reports made to the Company or such other corporation, partnership, joint venture or other entity by an independent certified public accountant or by an appraiser or other expert selected with reasonable care by the Company or such other corporation, partnership, joint venture or other entity. In addition, the knowledge and/or actions, or failure to act, of any director, officer, agent or employee of the Company or such other corporation, partnership, joint venture or other entity shall not be imputed to Indemnitee for purposes of determining the right to indemnification under this Agreement. The provisions of this Section C.8(c) shall not be deemed to be exclusive or to limit in any way the other circumstances in which the Indemnitee may be deemed to have met the applicable standard of conduct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Independent Counsel</w:t>
      </w:r>
      <w:r>
        <w:rPr>
          <w:rFonts w:ascii="Times New Roman;Times;Serif" w:hAnsi="Times New Roman;Times;Serif"/>
          <w:b w:val="false"/>
          <w:i w:val="false"/>
          <w:caps w:val="false"/>
          <w:smallCaps w:val="false"/>
          <w:sz w:val="20"/>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DIRECTOR AND OFFICER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Good Faith Determination</w:t>
      </w:r>
      <w:r>
        <w:rPr>
          <w:rFonts w:ascii="Times New Roman;Times;Serif" w:hAnsi="Times New Roman;Times;Serif"/>
          <w:b w:val="false"/>
          <w:i w:val="false"/>
          <w:caps w:val="false"/>
          <w:smallCaps w:val="false"/>
          <w:sz w:val="20"/>
        </w:rPr>
        <w:t>. The Company shall from time to time make the good faith determination whether or not it is practicable for the Company to obtain and maintain a policy or policies of insurance with reputable insurance companies providing the officers and directors of the Company with coverage for losses incurred in connection with their services to the Company or to ensure the Company’s performance of its indemnification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Coverage of Indemnitee</w:t>
      </w:r>
      <w:r>
        <w:rPr>
          <w:rFonts w:ascii="Times New Roman;Times;Serif" w:hAnsi="Times New Roman;Times;Serif"/>
          <w:b w:val="false"/>
          <w:i w:val="false"/>
          <w:caps w:val="false"/>
          <w:smallCaps w:val="false"/>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 Obligation</w:t>
      </w:r>
      <w:r>
        <w:rPr>
          <w:rFonts w:ascii="Times New Roman;Times;Serif" w:hAnsi="Times New Roman;Times;Serif"/>
          <w:b w:val="false"/>
          <w:i w:val="false"/>
          <w:caps w:val="false"/>
          <w:smallCaps w:val="false"/>
          <w:sz w:val="20"/>
        </w:rPr>
        <w:t>. Notwithstanding the foregoing, the Company shall have no obligation to obtain or maintain any director and officer insurance policy if the Company determines in good faith that such insurance is not reasonably available in the case that (i) premium costs for such insurance are disproportionate to the amount of coverage provided, or (ii) the coverage provided by such insurance is limited by exclusions so as to provide an insufficient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NON-EXCLUSIVITY; U.S. FEDERAL PREEMPTION;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Non-Exclusivity</w:t>
      </w:r>
      <w:r>
        <w:rPr>
          <w:rFonts w:ascii="Times New Roman;Times;Serif" w:hAnsi="Times New Roman;Times;Serif"/>
          <w:b w:val="false"/>
          <w:i w:val="false"/>
          <w:caps w:val="false"/>
          <w:smallCaps w:val="false"/>
          <w:sz w:val="20"/>
        </w:rPr>
        <w:t>. The indemnification provided by this Agreement shall not be deemed exclusive of any rights to which Indemnitee may be entitled under the Company’s current memorandum and articles of association, as may be amended from time to time, applicable law or any written agreement between Indemnitee and the Company (including its subsidiaries and affiliates). The indemnification provided under this Agreement shall continue to be available to Indemnitee for any action taken or not taken while serving in an indemnified capacity even though he/she may have ceased to serve in any such capacity at the time of any Proceeding. In the event of any inconsistencies between the terms as set forth in this Agreement and the provisions in the Company’s memorandum and articles of association (as may be amended from time to time), the provisions in the Company’s memorandum and articles of association (as may be amended from time to time)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U.S. Federal Preemption</w:t>
      </w:r>
      <w:r>
        <w:rPr>
          <w:rFonts w:ascii="Times New Roman;Times;Serif" w:hAnsi="Times New Roman;Times;Serif"/>
          <w:b w:val="false"/>
          <w:i w:val="false"/>
          <w:caps w:val="false"/>
          <w:smallCaps w:val="false"/>
          <w:sz w:val="20"/>
        </w:rPr>
        <w:t>. Notwithstanding the foregoing, both the Company and Indemnitee acknowledge that in certain instances, U.S. federal law or public policy may override applicable law and prohibit the Company from indemnifying its directors and officers under this Agreement or otherwise. Such instances include, but are not limited to,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”)’s prohibition on indemnification for liabilities arising under certain U.S. federal securities laws.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Duration of Agreement</w:t>
      </w:r>
      <w:r>
        <w:rPr>
          <w:rFonts w:ascii="Times New Roman;Times;Serif" w:hAnsi="Times New Roman;Times;Serif"/>
          <w:b w:val="false"/>
          <w:i w:val="false"/>
          <w:caps w:val="false"/>
          <w:smallCaps w:val="false"/>
          <w:sz w:val="20"/>
        </w:rPr>
        <w:t>. All agreements and obligations of the Company contained herein shall continue during the period Indemnitee is an officer and/or a director of the Company (or is or was serving at the request of the Company as a director, officer, employee or agent of another corporation, partnership, joint venture, trust or other enterprise) and shall continue thereafter so long as Indemnitee shall be subject to any Proceeding by reason of his/her former or current capacity at the Company, whether or not he/she is acting or serving in any such capacity at the time any Expense is incurred for which indemnification can be provided under this Agreement. This Agreement shall continue in effect regardless of whether Indemnitee continues to serve as an officer and/or a director of the Company or any other enterprise at the Company’s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 of this Agreement</w:t>
      </w:r>
      <w:r>
        <w:rPr>
          <w:rFonts w:ascii="Times New Roman;Times;Serif" w:hAnsi="Times New Roman;Times;Serif"/>
          <w:b w:val="false"/>
          <w:i w:val="false"/>
          <w:caps w:val="false"/>
          <w:smallCaps w:val="false"/>
          <w:sz w:val="20"/>
        </w:rPr>
        <w:t>. No supplement, modification, or amendment of this Agreement shall be binding unless executed in writing by the parties hereto. No waiver of any of the provisions of this Agreement shall operate as a waiver of any other provisions (whether or not similar), nor shall such waiver constitute a continuing waiver. Except as specifically provided in this Agreement, no failure to exercise or any delay in exercising any right or remedy shall constitute a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In the event of payment to Indemnitee by the Company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to bring suit to enforce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Assignment; Binding Effect</w:t>
      </w:r>
      <w:r>
        <w:rPr>
          <w:rFonts w:ascii="Times New Roman;Times;Serif" w:hAnsi="Times New Roman;Times;Serif"/>
          <w:b w:val="false"/>
          <w:i w:val="false"/>
          <w:caps w:val="false"/>
          <w:smallCaps w:val="false"/>
          <w:sz w:val="20"/>
        </w:rPr>
        <w:t>. Neither this Agreement nor any of the rights or obligations hereunder may be assigned by either party hereto without the prior written consent of the other party; except that the Company may, without such consent, assign all such rights and obligations to a successor in interest to the Company which assumes all obligations of the Company under this Agreement. Notwithstanding the foregoing, this Agreement shall be binding upon and inure to the benefit of and be enforceable by and against the parties hereto and the Company’s successors (including any direct or indirect successor by purchase, merger, consolidation, or otherwise to all or substantially all of the business and/or assets of the Company) and assigns, as well as Indemnitee’s spouses, heirs, and personal and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Severability and Construction</w:t>
      </w:r>
      <w:r>
        <w:rPr>
          <w:rFonts w:ascii="Times New Roman;Times;Serif" w:hAnsi="Times New Roman;Times;Serif"/>
          <w:b w:val="false"/>
          <w:i w:val="false"/>
          <w:caps w:val="false"/>
          <w:smallCaps w:val="false"/>
          <w:sz w:val="20"/>
        </w:rPr>
        <w:t>. Nothing in this Agreement is intended to require or shall be construed as requiring the Company to do or fail to do any act in violation of applicable law. The Company’s inability, pursuant to a court order, to perform its obligations under this Agreement shall not constitute a breach of this Agreement. In addition, if any portion of this Agreement shall be held by a court of competent jurisdiction to be invalid, void, or otherwise unenforceable, the remaining provisions shall remain enforceable to the fullest extent permitted by applicable law. The parties hereto acknowledge that they each have opportunities to have their respective counsels review this Agreement. Accordingly, this Agreement shall be deemed to be the product of both of the parties hereto, and no ambiguity shall be construed in favor of or against either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counterparts, both of which taken together shall constitute one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acts and transactions pursuant hereto and the rights and obligations of the parties hereto shall be governed, construed and interpreted in accordance with the internal laws of the State of New York, without giving effect to conflicts of laws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and other communications required or permitted under this Agreement shall be made in writing and shall be deemed to have been duly given if delivered by hand, against receipt, or mailed via postage prepaid, certified or registered mail, return receipt requested, and addressed to the Company at ____________, attention: ___________________ and to Indemnitee at his/her address last known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supersedes all prior agreements and understandings, both written and oral,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7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written above.</w:t>
      </w:r>
    </w:p>
    <w:p>
      <w:pPr>
        <w:pStyle w:val="TextBody"/>
        <w:bidi w:val="0"/>
        <w:spacing w:before="0" w:after="0"/>
        <w:ind w:left="27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b/>
              </w:rPr>
            </w:pPr>
            <w:r>
              <w:rPr>
                <w:b/>
              </w:rPr>
              <w:t>U Power Ltd</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By: </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Jia Li</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Jia Li</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Title: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155" w:type="dxa"/>
        <w:jc w:val="left"/>
        <w:tblInd w:w="0" w:type="dxa"/>
        <w:tblLayout w:type="fixed"/>
        <w:tblCellMar>
          <w:top w:w="0" w:type="dxa"/>
          <w:left w:w="0" w:type="dxa"/>
          <w:bottom w:w="0" w:type="dxa"/>
          <w:right w:w="0" w:type="dxa"/>
        </w:tblCellMar>
      </w:tblPr>
      <w:tblGrid>
        <w:gridCol w:w="1055"/>
        <w:gridCol w:w="1025"/>
        <w:gridCol w:w="75"/>
      </w:tblGrid>
      <w:tr>
        <w:trPr/>
        <w:tc>
          <w:tcPr>
            <w:tcW w:w="2080" w:type="dxa"/>
            <w:gridSpan w:val="2"/>
            <w:tcBorders/>
            <w:vAlign w:val="center"/>
          </w:tcPr>
          <w:p>
            <w:pPr>
              <w:pStyle w:val="TableContents"/>
              <w:bidi w:val="0"/>
              <w:spacing w:before="0" w:after="283"/>
              <w:jc w:val="left"/>
              <w:rPr>
                <w:b/>
              </w:rPr>
            </w:pPr>
            <w:r>
              <w:rPr>
                <w:b/>
              </w:rPr>
              <w:t>Indemnitee</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Signature: </w:t>
            </w:r>
          </w:p>
        </w:tc>
        <w:tc>
          <w:tcPr>
            <w:tcW w:w="1025" w:type="dxa"/>
            <w:tcBorders>
              <w:bottom w:val="single" w:sz="12" w:space="0" w:color="000000"/>
            </w:tcBorders>
            <w:tcMar>
              <w:bottom w:w="28" w:type="dxa"/>
            </w:tcMar>
            <w:vAlign w:val="center"/>
          </w:tcPr>
          <w:p>
            <w:pPr>
              <w:pStyle w:val="TableContents"/>
              <w:bidi w:val="0"/>
              <w:spacing w:before="0" w:after="283"/>
              <w:jc w:val="left"/>
              <w:rPr/>
            </w:pPr>
            <w:r>
              <w:rPr/>
              <w:t>/s/ Bo Lyu</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Name:</w:t>
            </w:r>
          </w:p>
        </w:tc>
        <w:tc>
          <w:tcPr>
            <w:tcW w:w="1025" w:type="dxa"/>
            <w:tcBorders/>
            <w:vAlign w:val="center"/>
          </w:tcPr>
          <w:p>
            <w:pPr>
              <w:pStyle w:val="TableContents"/>
              <w:bidi w:val="0"/>
              <w:spacing w:before="0" w:after="283"/>
              <w:jc w:val="left"/>
              <w:rPr/>
            </w:pPr>
            <w:r>
              <w:rPr/>
              <w:t>Bo Lyu</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Indemnification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9780/000121390026062132/ea0291969-f3_upower.htm" TargetMode="External"/><Relationship Id="rId3" Type="http://schemas.openxmlformats.org/officeDocument/2006/relationships/hyperlink" Target="https://www.sec.gov/Archives/edgar/data/1939780/000121390024092300/ea0219058-f3_upower.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6659</Words>
  <Characters>35943</Characters>
  <CharactersWithSpaces>42627</CharactersWithSpaces>
  <Paragraphs>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