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0272-20f_upower.htm"/>
      <w:bookmarkStart w:id="1" w:name="ksea029027220f_upow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 Power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18/F, Building 3, Science and Technology Industrial Park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Yijiang District, Wuhu City, Anhui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241003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Bingyi Zhao,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2F, Zuoan 88 A, Lujiazui,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200122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+86-21-68593598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rebecca.zhao@upincar.com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755" w:type="dxa"/>
        <w:jc w:val="left"/>
        <w:tblInd w:w="0" w:type="dxa"/>
        <w:tblLayout w:type="fixed"/>
        <w:tblCellMar>
          <w:top w:w="0" w:type="dxa"/>
          <w:left w:w="0" w:type="dxa"/>
          <w:bottom w:w="28" w:type="dxa"/>
          <w:right w:w="0" w:type="dxa"/>
        </w:tblCellMar>
      </w:tblPr>
      <w:tblGrid>
        <w:gridCol w:w="2165"/>
        <w:gridCol w:w="90"/>
        <w:gridCol w:w="1640"/>
        <w:gridCol w:w="90"/>
        <w:gridCol w:w="3770"/>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UCAR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24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460,344 Class A Ordinary Shares, par value $0.0001 per share, and 36,805 Class B Ordinary Shares, par value $0.0001 per share, as of December 31, 2025, giving effect to the April 2026 Share Consolidation as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175"/>
        <w:gridCol w:w="4940"/>
        <w:gridCol w:w="77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 ☒</w:t>
            </w:r>
          </w:p>
        </w:tc>
        <w:tc>
          <w:tcPr>
            <w:tcW w:w="49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w:t>
              <w:br/>
              <w:t>International Accounting Standards Board ☐</w:t>
            </w:r>
          </w:p>
        </w:tc>
        <w:tc>
          <w:tcPr>
            <w:tcW w:w="7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915" w:type="dxa"/>
        <w:jc w:val="left"/>
        <w:tblInd w:w="0" w:type="dxa"/>
        <w:tblLayout w:type="fixed"/>
        <w:tblCellMar>
          <w:top w:w="0" w:type="dxa"/>
          <w:left w:w="0" w:type="dxa"/>
          <w:bottom w:w="0" w:type="dxa"/>
          <w:right w:w="0" w:type="dxa"/>
        </w:tblCellMar>
      </w:tblPr>
      <w:tblGrid>
        <w:gridCol w:w="980"/>
        <w:gridCol w:w="90"/>
        <w:gridCol w:w="8435"/>
        <w:gridCol w:w="410"/>
      </w:tblGrid>
      <w:tr>
        <w:trPr/>
        <w:tc>
          <w:tcPr>
            <w:tcW w:w="9505" w:type="dxa"/>
            <w:gridSpan w:val="3"/>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INTRODUCTION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505" w:type="dxa"/>
            <w:gridSpan w:val="3"/>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505" w:type="dxa"/>
            <w:gridSpan w:val="3"/>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SPECIAL NOTE REGARDING FORWARD-LOOKING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9505" w:type="dxa"/>
            <w:gridSpan w:val="3"/>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505" w:type="dxa"/>
            <w:gridSpan w:val="3"/>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PART I</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IDENTITY OF DIRECTORS, SENIOR MANAGEMENT AND ADVISERS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OFFER STATISTICS AND EXPECTED TIMETABLE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KEY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INFORMATION ON THE COMPANY</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4A.</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UNRESOLVED STAFF COMMENTS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OPERATING AND FINANCIAL REVIEW AND PROSPECTS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DIRECTORS, SENIOR MANAGEMENT AND EMPLOYEES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7.</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MAJOR SHAREHOLDERS AND RELATED PARTY TRANSACTIONS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8.</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FINANCIAL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9.</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THE OFFER AND LISTING</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10.</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ADDITIONAL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11.</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QUANTITATIVE AND QUALITATIVE DISCLOSURES ABOUT MARKET RISK</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12.</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DESCRIPTION OF SECURITIES OTHER THAN EQUITY SECURITIES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9505" w:type="dxa"/>
            <w:gridSpan w:val="3"/>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505" w:type="dxa"/>
            <w:gridSpan w:val="3"/>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PART II</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13.</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DEFAULTS, DIVIDEND ARREARAGES AND DELINQUENCIES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14.</w:t>
            </w:r>
          </w:p>
        </w:tc>
        <w:tc>
          <w:tcPr>
            <w:tcW w:w="90" w:type="dxa"/>
            <w:tcBorders/>
            <w:shd w:fill="CCEEFF" w:val="clear"/>
            <w:vAlign w:val="center"/>
          </w:tcPr>
          <w:p>
            <w:pPr>
              <w:pStyle w:val="TableContents"/>
              <w:bidi w:val="0"/>
              <w:spacing w:before="0" w:after="283"/>
              <w:ind w:left="0" w:right="0" w:hanging="180"/>
              <w:jc w:val="left"/>
              <w:rPr/>
            </w:pPr>
            <w:r>
              <w:rPr/>
              <w:t> </w:t>
            </w:r>
          </w:p>
        </w:tc>
        <w:tc>
          <w:tcPr>
            <w:tcW w:w="843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MATERIAL MODIFICATIONS TO THE RIGHTS OF SECURITY HOLDERS AND USE OF PROCEEDS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15.</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CONTROLS AND PROCEDURES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[RESERVED]</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16A.</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AUDIT COMMITTEE FINANCIAL EXPERT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16B.</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CODE OF ETHICS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16C.</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PRINCIPAL ACCOUNTANT FEES AND SERVICES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16D.</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EXEMPTIONS FROM THE LISTING STANDARDS FOR AUDIT COMMITTEES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16E.</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PURCHASES OF EQUITY SECURITIES BY THE ISSUER AND AFFILIATED PURCHASERS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16F.</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CHANGE IN REGISTRANT’S CERTIFYING ACCOUNTANT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16G.</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CORPORATE GOVERNANCE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16H.</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MINE SAFETY DISCLOSURE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16I.</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DISCLOSURE REGARDING FOREIGN JURISDICTIONS THAT PREVENT INSPECTIONS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16J.</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INSIDER TRADING POLICIES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16K.</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CYBERSECURITY</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505" w:type="dxa"/>
            <w:gridSpan w:val="3"/>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PART III</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17.</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18.</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sz w:val="20"/>
                </w:rPr>
                <w:t>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w:t>
            </w:r>
          </w:p>
        </w:tc>
      </w:tr>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19.</w:t>
            </w:r>
          </w:p>
        </w:tc>
        <w:tc>
          <w:tcPr>
            <w:tcW w:w="90" w:type="dxa"/>
            <w:tcBorders/>
            <w:shd w:fill="CCEEFF" w:val="clear"/>
            <w:vAlign w:val="center"/>
          </w:tcPr>
          <w:p>
            <w:pPr>
              <w:pStyle w:val="TableContents"/>
              <w:bidi w:val="0"/>
              <w:spacing w:before="0" w:after="283"/>
              <w:jc w:val="left"/>
              <w:rPr/>
            </w:pPr>
            <w:r>
              <w:rPr/>
              <w:t> </w:t>
            </w:r>
          </w:p>
        </w:tc>
        <w:tc>
          <w:tcPr>
            <w:tcW w:w="8435"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sz w:val="20"/>
                </w:rPr>
                <w:t>EXHIBITS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with no material operations of our own. We are not a Chinese operating company. Unless otherwise stated, as used in this annual report and in the context of describing our operations and consolidated financial information, “we,” “us,” “Company,” “our company”, or “our,” refers to U Power Limited, a Cayman Island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AHYS” are to Anhui Yousheng New Energy Co., Ltd., a limited liability company established pursuant to PRC laws on May 16, 2013, which is controlled by WFOE (as defined below) with 100% equity ownership;</w:t>
            </w:r>
          </w:p>
        </w:tc>
      </w:tr>
    </w:tbl>
    <w:p>
      <w:pPr>
        <w:pStyle w:val="TextBody"/>
        <w:bidi w:val="0"/>
        <w:spacing w:before="0" w:after="0"/>
        <w:ind w:left="0" w:right="0" w:hanging="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68"/>
        <w:gridCol w:w="200"/>
        <w:gridCol w:w="3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68"/>
        <w:gridCol w:w="200"/>
        <w:gridCol w:w="5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w:t>
            </w:r>
            <w:r>
              <w:rPr>
                <w:rFonts w:ascii="Times New Roman;Times;Serif" w:hAnsi="Times New Roman;Times;Serif"/>
                <w:sz w:val="20"/>
              </w:rPr>
              <w:t>China” and the “PRC” are to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CD Youyineng” are to Chengdu Youyineng Automobile Service Co., Ltd., a limited liability company established pursuant to PRC laws on October 29, 2020, and is wholly owned by AHYS;</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68"/>
        <w:gridCol w:w="200"/>
        <w:gridCol w:w="76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our Class A ordinary shares, par value US$0.0001 per share;</w:t>
            </w:r>
          </w:p>
        </w:tc>
      </w:tr>
    </w:tbl>
    <w:p>
      <w:pPr>
        <w:pStyle w:val="TextBody"/>
        <w:bidi w:val="0"/>
        <w:spacing w:before="0" w:after="0"/>
        <w:ind w:left="0" w:right="0" w:firstLine="72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68"/>
        <w:gridCol w:w="200"/>
        <w:gridCol w:w="76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our Class B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200"/>
        <w:gridCol w:w="2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pPr>
            <w:r>
              <w:rPr/>
              <w:t>“</w:t>
            </w:r>
            <w:r>
              <w:rPr>
                <w:rFonts w:ascii="Times New Roman;Times;Serif" w:hAnsi="Times New Roman;Times;Serif"/>
                <w:sz w:val="20"/>
              </w:rPr>
              <w:t>EV” are to electric vehicle;</w:t>
            </w:r>
          </w:p>
        </w:tc>
      </w:tr>
    </w:tbl>
    <w:p>
      <w:pPr>
        <w:pStyle w:val="TextBody"/>
        <w:bidi w:val="0"/>
        <w:spacing w:before="0" w:after="0"/>
        <w:ind w:left="0" w:right="0" w:hanging="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68"/>
        <w:gridCol w:w="200"/>
        <w:gridCol w:w="5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w:t>
            </w:r>
            <w:r>
              <w:rPr>
                <w:rFonts w:ascii="Times New Roman;Times;Serif" w:hAnsi="Times New Roman;Times;Serif"/>
                <w:sz w:val="20"/>
              </w:rPr>
              <w:t>Group” are to the Company and its subsidiaries, collectively;</w:t>
            </w:r>
          </w:p>
        </w:tc>
      </w:tr>
    </w:tbl>
    <w:p>
      <w:pPr>
        <w:pStyle w:val="TextBody"/>
        <w:bidi w:val="0"/>
        <w:spacing w:before="0" w:after="0"/>
        <w:ind w:left="0"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68"/>
        <w:gridCol w:w="200"/>
        <w:gridCol w:w="72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w:t>
            </w:r>
            <w:r>
              <w:rPr>
                <w:rFonts w:ascii="Times New Roman;Times;Serif" w:hAnsi="Times New Roman;Times;Serif"/>
                <w:sz w:val="20"/>
              </w:rPr>
              <w:t>Hong Kong” or “HK” are to the Hong Kong Special Administrative Region of the PRC;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ISO” are to a series of quality management and quality assurance standards published by International Organization for Standardization, a non-government organization based in Geneva, Switzerland, for assessing the quality systems of business organizations;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mainland China” are to the mainland China of the PRC, excluding Taiwan, the special administrative regions of Hong Kong and Macau for the purposes of this annual report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our PRC subsidiaries” or “PRC operating subsidiaries” are, collectively, to AHYS and its subsidiaries, including CD Youyineng, SH Youteng (defined below), SH Youxu (defined below), Youpin (defined below), Youpin SD (defined below), and their respective subsidiaries;</w:t>
            </w:r>
          </w:p>
        </w:tc>
      </w:tr>
    </w:tbl>
    <w:p>
      <w:pPr>
        <w:pStyle w:val="TextBody"/>
        <w:bidi w:val="0"/>
        <w:spacing w:before="0" w:after="0"/>
        <w:ind w:left="0" w:right="0" w:hanging="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68"/>
        <w:gridCol w:w="200"/>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pPr>
            <w:r>
              <w:rPr/>
              <w:t>“</w:t>
            </w:r>
            <w:r>
              <w:rPr>
                <w:rFonts w:ascii="Times New Roman;Times;Serif" w:hAnsi="Times New Roman;Times;Serif"/>
                <w:sz w:val="20"/>
              </w:rPr>
              <w:t>Ordinary Shares” are to our Class A Ordinary Shares and our Class B Ordinary Shares, collectively;</w:t>
            </w:r>
          </w:p>
        </w:tc>
      </w:tr>
    </w:tbl>
    <w:p>
      <w:pPr>
        <w:pStyle w:val="TextBody"/>
        <w:bidi w:val="0"/>
        <w:spacing w:before="0" w:after="0"/>
        <w:ind w:left="0" w:right="0" w:firstLine="72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68"/>
        <w:gridCol w:w="200"/>
        <w:gridCol w:w="4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w:t>
            </w:r>
            <w:r>
              <w:rPr>
                <w:rFonts w:ascii="Times New Roman;Times;Serif" w:hAnsi="Times New Roman;Times;Serif"/>
                <w:sz w:val="20"/>
              </w:rPr>
              <w:t>RMB” and “Renminbi” are to the legal currency of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SH Youteng” are to Shanghai Youteng Automobile Service Co., Ltd., a limited liability company established pursuant to PRC laws on November 3, 2020, and AHYS holds 70% of its equity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SH Youxu” are to Shanghai Youxu New Energy Technology Co., Ltd., a limited liability company established pursuant to PRC laws on March 22, 2021, and AHYS holds 70% of its equity interests;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68"/>
        <w:gridCol w:w="200"/>
        <w:gridCol w:w="5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w:t>
            </w:r>
            <w:r>
              <w:rPr>
                <w:rFonts w:ascii="Times New Roman;Times;Serif" w:hAnsi="Times New Roman;Times;Serif"/>
                <w:sz w:val="20"/>
              </w:rPr>
              <w:t>SME dealers” are to small and medium sized vehicle dealers;</w:t>
            </w:r>
          </w:p>
        </w:tc>
      </w:tr>
    </w:tbl>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68"/>
        <w:gridCol w:w="200"/>
        <w:gridCol w:w="76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w:t>
            </w:r>
            <w:r>
              <w:rPr>
                <w:rFonts w:ascii="Times New Roman;Times;Serif" w:hAnsi="Times New Roman;Times;Serif"/>
                <w:sz w:val="20"/>
              </w:rPr>
              <w:t>UK” are to the United Kingdom, made up of England, Scotland, Wales and Northern Ireland;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U.S.,” “US” or “United States” are to United States of America, its territories, its possessions and all areas subject to its jurisdiction;</w:t>
            </w:r>
          </w:p>
        </w:tc>
      </w:tr>
    </w:tbl>
    <w:p>
      <w:pPr>
        <w:pStyle w:val="TextBody"/>
        <w:bidi w:val="0"/>
        <w:spacing w:before="0" w:after="0"/>
        <w:ind w:left="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68"/>
        <w:gridCol w:w="200"/>
        <w:gridCol w:w="6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t>
            </w:r>
            <w:r>
              <w:rPr>
                <w:rFonts w:ascii="Times New Roman;Times;Serif" w:hAnsi="Times New Roman;Times;Serif"/>
                <w:sz w:val="20"/>
              </w:rPr>
              <w:t>US$,” “$” and “U.S. dollars” are to the legal currency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we,” “us,” “Company,” “our” and “Upincar” are to U Power Limited, the Cayman Islands holding company, and its predecessor entity and its subsidiaries, as the context requires;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WFOE” are to our wholly owned Chinese subsidiary, Shandong Yousheng New Energy Technology Development Co., Ltd., a limited liability company established pursuant to PRC laws on January 27, 2022;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Youpin” are to Youpin Automobile Service Group Co., Ltd., a limited liability company established pursuant to PRC laws on July 18, 2013, and AHYS holds 54.37% of its equity interests;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Youpin SD” are to Youpin Automobile Service (Shandong) Co., Ltd., a limited liability company established pursuant to PRC laws on June 30, 2020, and AHYS holds 87% of its equity interests.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WFOE and our PRC subsidiaries is Renminbi (“RMB”), the currency of China. Our consolidated financial statements are presented in U.S. dollars. In this annual report, we refer to assets, obligations, commitments, and liabilities in our consolidated financial statements in U.S. dollars. These dollar references are based on exchange rates of RMB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indicated herein to the contrary, all references to share amounts in this annual report give retroactive effect to share consolidations, the last of which was effected April 1, 2026, when the Company implemented a 1-for-10 reverse share split (the “April 2026 Share Consolidation”).</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translations of RMB amounts into U.S. dollars at specified rates. Unless otherwise stated, the following exchange rates are used in this annual report:</w:t>
      </w:r>
    </w:p>
    <w:p>
      <w:pPr>
        <w:pStyle w:val="TextBody"/>
        <w:bidi w:val="0"/>
        <w:spacing w:before="0" w:after="0"/>
        <w:ind w:left="0" w:right="0" w:hanging="0"/>
        <w:jc w:val="both"/>
        <w:rPr>
          <w:caps w:val="false"/>
          <w:smallCaps w:val="false"/>
        </w:rPr>
      </w:pPr>
      <w:r>
        <w:rPr>
          <w:caps w:val="false"/>
          <w:smallCaps w:val="false"/>
        </w:rPr>
        <w:t> </w:t>
      </w:r>
    </w:p>
    <w:tbl>
      <w:tblPr>
        <w:tblW w:w="8375" w:type="dxa"/>
        <w:jc w:val="left"/>
        <w:tblInd w:w="0" w:type="dxa"/>
        <w:tblLayout w:type="fixed"/>
        <w:tblCellMar>
          <w:top w:w="0" w:type="dxa"/>
          <w:left w:w="0" w:type="dxa"/>
          <w:bottom w:w="0" w:type="dxa"/>
          <w:right w:w="0" w:type="dxa"/>
        </w:tblCellMar>
      </w:tblPr>
      <w:tblGrid>
        <w:gridCol w:w="2690"/>
        <w:gridCol w:w="90"/>
        <w:gridCol w:w="1790"/>
        <w:gridCol w:w="90"/>
        <w:gridCol w:w="1790"/>
        <w:gridCol w:w="90"/>
        <w:gridCol w:w="18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59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w:t>
            </w:r>
          </w:p>
        </w:tc>
      </w:tr>
      <w:tr>
        <w:trPr/>
        <w:tc>
          <w:tcPr>
            <w:tcW w:w="26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US$Exchange Rate</w:t>
            </w:r>
          </w:p>
        </w:tc>
        <w:tc>
          <w:tcPr>
            <w:tcW w:w="90" w:type="dxa"/>
            <w:tcBorders/>
            <w:vAlign w:val="center"/>
          </w:tcPr>
          <w:p>
            <w:pPr>
              <w:pStyle w:val="TableContents"/>
              <w:bidi w:val="0"/>
              <w:spacing w:before="0" w:after="283"/>
              <w:jc w:val="center"/>
              <w:rPr/>
            </w:pPr>
            <w:r>
              <w:rPr/>
              <w:t> </w:t>
            </w:r>
          </w:p>
        </w:tc>
        <w:tc>
          <w:tcPr>
            <w:tcW w:w="17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90" w:type="dxa"/>
            <w:tcBorders/>
            <w:vAlign w:val="center"/>
          </w:tcPr>
          <w:p>
            <w:pPr>
              <w:pStyle w:val="TableContents"/>
              <w:bidi w:val="0"/>
              <w:spacing w:before="0" w:after="283"/>
              <w:jc w:val="center"/>
              <w:rPr/>
            </w:pPr>
            <w:r>
              <w:rPr/>
              <w:t> </w:t>
            </w:r>
          </w:p>
        </w:tc>
        <w:tc>
          <w:tcPr>
            <w:tcW w:w="17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0" w:type="dxa"/>
            <w:tcBorders/>
            <w:vAlign w:val="center"/>
          </w:tcPr>
          <w:p>
            <w:pPr>
              <w:pStyle w:val="TableContents"/>
              <w:bidi w:val="0"/>
              <w:spacing w:before="0" w:after="283"/>
              <w:jc w:val="center"/>
              <w:rPr/>
            </w:pPr>
            <w:r>
              <w:rPr/>
              <w:t> </w:t>
            </w:r>
          </w:p>
        </w:tc>
        <w:tc>
          <w:tcPr>
            <w:tcW w:w="18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end of the year – RMB</w:t>
            </w:r>
          </w:p>
        </w:tc>
        <w:tc>
          <w:tcPr>
            <w:tcW w:w="9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RMB7.0999 to $1.00</w:t>
            </w:r>
          </w:p>
        </w:tc>
        <w:tc>
          <w:tcPr>
            <w:tcW w:w="9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RMB7.2993 to $1.00</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RMB7.0288 to $1.00</w:t>
            </w:r>
          </w:p>
        </w:tc>
      </w:tr>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rate for the year – RMB</w:t>
            </w:r>
          </w:p>
        </w:tc>
        <w:tc>
          <w:tcPr>
            <w:tcW w:w="9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RMB7.0896 to $1.00</w:t>
            </w:r>
          </w:p>
        </w:tc>
        <w:tc>
          <w:tcPr>
            <w:tcW w:w="9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RMB7.1933 to $1.00</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RMB7.0288 to $1.00</w:t>
            </w:r>
          </w:p>
        </w:tc>
      </w:tr>
    </w:tbl>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480" w:right="0" w:hanging="0"/>
        <w:jc w:val="center"/>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“forward-looking statements” within the meaning of Section 27A of the Securities Act of 1933, as amended (the “Securities Act”), and Section 21E of the Securities Exchange Act of 1934, as amended (the “Exchange Act”), that involve substantial risks and uncertainties.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 You can identify some of these forward-looking statements by words or phrases such as “may,” “will,” “could,” “expect,” “anticipate,” “aim,” “estimate,” “intend,” “plan,” “believe,” “is/are likely to,” “propose,”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 forward-looking statements included in this annual report relate to, among other things:</w:t>
      </w:r>
    </w:p>
    <w:p>
      <w:pPr>
        <w:pStyle w:val="TextBody"/>
        <w:bidi w:val="0"/>
        <w:spacing w:before="0" w:after="0"/>
        <w:ind w:left="960" w:right="0" w:hanging="48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68"/>
        <w:gridCol w:w="200"/>
        <w:gridCol w:w="2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and operating strategies and plans for the development of existing and new businesses, ability to implement such strategies and plans and expected time;</w:t>
            </w:r>
          </w:p>
        </w:tc>
      </w:tr>
    </w:tbl>
    <w:p>
      <w:pPr>
        <w:pStyle w:val="TextBody"/>
        <w:bidi w:val="0"/>
        <w:spacing w:before="0" w:after="0"/>
        <w:ind w:left="960" w:right="0" w:hanging="48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68"/>
        <w:gridCol w:w="200"/>
        <w:gridCol w:w="6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revenues, costs or expenditures;</w:t>
            </w:r>
          </w:p>
        </w:tc>
      </w:tr>
    </w:tbl>
    <w:p>
      <w:pPr>
        <w:pStyle w:val="TextBody"/>
        <w:bidi w:val="0"/>
        <w:spacing w:before="0" w:after="0"/>
        <w:ind w:left="960" w:right="0" w:hanging="48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68"/>
        <w:gridCol w:w="200"/>
        <w:gridCol w:w="1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dividend policy;</w:t>
            </w:r>
          </w:p>
        </w:tc>
      </w:tr>
    </w:tbl>
    <w:p>
      <w:pPr>
        <w:pStyle w:val="TextBody"/>
        <w:bidi w:val="0"/>
        <w:spacing w:before="0" w:after="0"/>
        <w:ind w:left="960" w:right="0" w:hanging="48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68"/>
        <w:gridCol w:w="20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68"/>
        <w:gridCol w:w="200"/>
        <w:gridCol w:w="7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relationships with our clients, business partners and third-parties;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trends in, expected growth in and market size of the automobile sourcing industry, and the electric vehicle industry in China;</w:t>
            </w:r>
          </w:p>
        </w:tc>
      </w:tr>
    </w:tbl>
    <w:p>
      <w:pPr>
        <w:pStyle w:val="TextBody"/>
        <w:bidi w:val="0"/>
        <w:spacing w:before="0" w:after="0"/>
        <w:ind w:left="960" w:right="0" w:hanging="48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and enhance our market position;</w:t>
            </w:r>
          </w:p>
        </w:tc>
      </w:tr>
    </w:tbl>
    <w:p>
      <w:pPr>
        <w:pStyle w:val="TextBody"/>
        <w:bidi w:val="0"/>
        <w:spacing w:before="0" w:after="0"/>
        <w:ind w:left="960" w:right="0" w:hanging="48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68"/>
        <w:gridCol w:w="200"/>
        <w:gridCol w:w="7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to develop new technologies and/or upgrade our existing technologies;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or changes to, laws, regulations, governmental policies, incentives and taxation affecting our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00"/>
        <w:gridCol w:w="71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governmental policies and regulations relating to our businesses and industry;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competitive environment, competitive landscape and potential competitor behavior in our industry; overall industry outlook in our industry;</w:t>
            </w:r>
          </w:p>
        </w:tc>
      </w:tr>
    </w:tbl>
    <w:p>
      <w:pPr>
        <w:pStyle w:val="TextBody"/>
        <w:bidi w:val="0"/>
        <w:spacing w:before="0" w:after="0"/>
        <w:ind w:left="960" w:right="0" w:hanging="48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train and retain executives and other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development of the global financial and capital markets;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68"/>
        <w:gridCol w:w="200"/>
        <w:gridCol w:w="4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inflation, interest rates and exchange rates;</w:t>
            </w:r>
          </w:p>
        </w:tc>
      </w:tr>
    </w:tbl>
    <w:p>
      <w:pPr>
        <w:pStyle w:val="TextBody"/>
        <w:bidi w:val="0"/>
        <w:spacing w:before="0" w:after="0"/>
        <w:ind w:left="960" w:right="0" w:hanging="48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68"/>
        <w:gridCol w:w="200"/>
        <w:gridCol w:w="56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political, social and economic conditions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68"/>
        <w:gridCol w:w="20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development of COVID-19  and its impact on our business and industry; and</w:t>
            </w:r>
          </w:p>
        </w:tc>
      </w:tr>
    </w:tbl>
    <w:p>
      <w:pPr>
        <w:pStyle w:val="TextBody"/>
        <w:bidi w:val="0"/>
        <w:spacing w:before="0" w:after="0"/>
        <w:ind w:left="960" w:right="0" w:hanging="48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68"/>
        <w:gridCol w:w="200"/>
        <w:gridCol w:w="4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certain data and information that we obtained from various government and private publications. Statistical data in these publications also include projections based on a number of assumptions. The industry in which we operate may not grow at the rate projected by market data, or at all. Failure of this market to grow at the projected rate may have a material and adverse effect on our business and the market price of the Class A Ordinary Shares.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Chinese operating company, but rather a holding company incorporated in the Cayman Islands. As a holding company with no material operations of our own, we conduct our operations through our operating entities established in the PRC. As such, our corporate structure involves unique risks to investors. Investors of our Class A Ordinary Shares do not directly own any equity interests in our Chinese operating subsidiaries, but will instead own shares of a Cayman Islands holding company. The Chinese regulatory authorities could intervene or influence the operations of our Chinese operating subsidiaries, including disallowing our corporate structure, which would likely result in a material change in our operations and/or a material change in the value of our Class A Ordinary Shares. See “Item 3. Key Information — D. Risk Factors — Risks Relating to Doing Business in China — 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continue to offer securities to investors, and may cause the value of such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legal and operational risks associated with being based in and having the majority of our operations in China. These risks may result in a material change in our operations, or a complete hindrance of our ability to continue to offer our securities to investors, and could cause the value of such securities to significantly decline or become worthless. Since 2021,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and adopting new measures to extend the scope of cybersecurity reviews.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the Cyberspace Administration of China (the “CAC”), together with 12 other governmental departments of the PRC, jointly promulgated the Cybersecurity Review Measures, which became effective on February 15, 2022. The Cybersecurity Review Measures require that an online platform operator which possesses the personal information of at least one million users must apply for a cybersecurity review by the CAC if it intends to be listed in foreign countries. On September 30, 2024, the State Council of China published the Regulations on Network Data Security Administration, which provides that data processing operators engaging in data processing activities that affect or may affect national security must be subject to network data security review by the relevant cyberspace administration of the PRC. The Regulations on Network Data Security Administration became effective on January 1, 2025. On October 28, 2025, the Standing Committee of the National People’s Congress adopted a decision to amend the Cybersecurity Law of the People’s Republic of China. This revision significantly raises the maximum thresholds for financial penalties for violations, establishes a legal framework for the security governance of new technologies such as artificial intelligence, and further strengthens the security protection responsibilities and extraterritorial application of the law for network operators, particularly platforms. The amended law became effective on January 1, 2026. As confirmed by our PRC counsel, Guantao Law Firm, since we are not an online platform operator that possesses over one million users’ personal information, we are not subject to the cybersecurity review with the CAC under the Cybersecurity Review Measures and the Regulations on Network Data Security Administration. There remains uncertainty, however, as to how the Cybersecurity Review Measures will be interpreted or implemented and whether the PRC regulatory agencies, including the CAC, may adopt new laws, regulations, rules, or detailed implementation and interpretation related to the Cybersecurity Review Measures and the Regulations on Network Data Security Administration. In addition, since 2021, the Chinese government has strengthened its anti-monopoly supervision, mainly in three aspects: (1) establishing the National Anti-Monopoly Bureau; (2) revising and promulgating anti-monopoly laws and regulations, including the Anti-Monopoly Law (draft Amendment published on October 23, 2021 for public opinion, the newly revised-Monopoly Law that was promulgated on June 24, 2022, and became effective on August 1,2022), the anti-monopoly guidelines for various industries, and the detailed Rules for the Implementation of the Fair Competition Review System; and (3) expanding the anti-monopoly law enforcement targeting Internet companies and large enterprises. As of the date of this annual report, the Chinese government’s recent statements and regulatory actions related to anti-monopoly concerns have not impacted our ability to conduct business, accept foreign investments, or list on a U.S. or other foreign exchange, because neither the Company nor its PRC operating entities engage in monopolistic behaviors that are subject to these statements or regulatory actions. On February 17, 2023, the China Securities Regulatory Commission (the “CSRC”) released the Trial Administrative Measures of Overseas Securities Offering and Listing by Domestic Companies, or the Trial Measures, and five supporting guidelines, which came into effect on March 31, 2023. The Trial Measures regulate both direct and indirect overseas offering and listing by PRC domestic companies by adopting a filing-based regulatory regime. Pursuant to the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Trial Measures (i.e. March 31, 2023) shall be deemed to be existing issuers (the “Existing Issuers”). Existing Issuers are not required to complete the filing procedures immediately; however Existing Issuers will be required to file with the CSRC for any subsequent offerings. Our PRC counsel, Guantao Law Firm, advised us that, since we obtained approval from both the U.S. Securities and Exchange Commission (the “SEC”) and The Nasdaq Stock Market LLC (“Nasdaq”) to issue and list our shares on the Nasdaq Capital Market prior to March 31, 2023, and closed our initial public offering on April 24, 2023, we were not required to complete the filing procedures with the CSRC for our initial public offering immediately pursuant to the Trial Measures. In the event that filings with the CSRC are required with respect to subsequent offerings, we cannot assure you that we can complete the filing procedures, obtain the approvals, or complete other compliance procedures in a timely manner, or at all, or that any completed filings or approvals or other compliance procedures fulfilled would not be later rescinded. Any such failure could subject us to sanctions by the CSRC or other PRC regulatory authorities. For further details, see “Item 3. Key Information — D. Risk Factors — Risks Relating to Doing Business in China — 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Guantao Law Firm, has advised us that, as of the date of this annual report, we and our PRC subsidiaries have received from the PRC authorities all requisite licenses, permissions, or approvals that are required and material for conducting our operations in China, such as business licenses and auto dealer filings. However, it is uncertain whether we or our PRC subsidiaries will be required to obtain additional approvals, licenses, or permits in connection with our business operations pursuant to evolving PRC laws and regulations, and whether we would be able to obtain and renew such approvals on a timely basis or at all. Failing to do so could result in non-compliance and materially change in our operations, and the value of our Class A Ordinary Shares could depreciate significantly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Approvals from the PRC Authorities to Conduct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Guantao Law Firm, has advised us that, as of the date of this annual report, we and our PRC subsidiaries have received from the PRC authorities all requisite licenses, permissions, or approvals that are required and material for conducting our operations in China, such as business licenses and auto dealer filings. However, it is uncertain whether we or our PRC subsidiaries will be required to obtain additional approvals, licenses, or permits in connection with our business operations pursuant to evolving PRC laws and regulations, and whether we would be able to obtain and renew such approvals on a timely basis or at all. Failing to do so could result in non-compliance and materially change in our operations, and the value of our Class A Ordinary Shares could depreciate significantly or become worthless.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annual report,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annual report, we have not installed any cash management policies that dictate how funds are transferred among the Company, its subsidiaries,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annual report, we have not applied for the tax resident certificate from the relevant Hong Kong tax authority. Our Hong Kong subsidiaries intend to apply for the tax resident certificate if and when our PRC subsidiaries plan to declare and pay dividends to our Hong Kong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Company Accounting Oversight Board of the United States’s Determinations on Public Accounting Firms Headquartered in Mainland China and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delisted under the Holding Foreign Companies Accountable Act (“HFCAA”) if the Public Company Accounting Oversight Board of the United States (the “PCAOB”) is unable to inspect our auditors for three consecutive years beginning in 2021. On December 29, 2022, the Accelerating Holding Foreign Companies Accountable Act was signed into law as part of the Consolidated Appropriations Act, which amended the HFCAA by reducing the number of consecutive non-inspection years required for triggering the prohibitions under the HFCAA from three years to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(the “Determination”). On August 26, 2022, the CSRC, the Ministry of Finance of the PRC (the “MOF”), and the PCAOB signed the Statement of Protocol (the “Protocol”), governing inspections and investigations of audit firms based in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vacated its previous determinations to the contrary. Our former auditor, Onestop Assurance PAC (“Onestop”), was replaced by HHL LLP (“HHL”) on July 31, 2025. HHL, a PCAOB-registered public accounting firm headquartered in New York, was subsequently dismissed and replaced by HCL, PLLC (“HCL”) as our independent registered public accounting firm, effective January 13, 2026. Our current auditor, HCL, and our former auditors, HHL and Onestop, are subject to oversight by the PCAOB, which entity conducts regular inspections to assess compliance with applicable professional standards. Onestop has been inspected by the PCAOB on a regular basis, as required by U.S. law. Our current auditor, HCL, is headquartered at 1415 W 37th Street, Suite 200, Chicago, IL 60609, and expects to be inspected by the PCAOB on a regular basis. As such, as of the date of this annual report, we have not been affected by the HFCAA and the related regulations. However, should PRC authorities obstruct or otherwise fail to facilitate the PCAOB’s access in the future, the PCAOB may consider the need to issue a new determination. There is a risk that our auditor cannot be inspected by the PCAOB in the future, and if the PCAOB determines that it cannot inspect or fully investigate our auditor for two consecutive years, our securities will be prohibited from trading on a national exchange or over-the-counter under the HFCAA, and, as a result, Nasdaq may determine to delist our securities, which may cause the value of our securities to decline or become worthless. See “Item 3. Key Information — D. Risk Factors —Risk Factors — Risks Relating to Doing Business in China — 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AHYS, a limited liability company established pursuant to PRC laws on May 16, 2013, operates through the following subsidiaries: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Youpin, which was established on July 18, 2013 and AHYS holds 54.37% of its equity interest. Youpin has the following subsidiaries: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Liaoning Youguan New Energy Technology Co., Ltd. (“LY New Energy”), which was established on November 8, 2019, and is wholly owned by Youpin.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Shanghai Youchuangneng Digital Technology Co., Ltd. (“SY Digital Tech”), which was established on November 13, 2015, and is wholly owned by Youpin.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Youguan Financial Leasing (China) Co., Ltd., which was established on February 27, 2017 and is wholly owned by Youpin;</w:t>
            </w:r>
          </w:p>
        </w:tc>
      </w:tr>
    </w:tbl>
    <w:p>
      <w:pPr>
        <w:pStyle w:val="TextBody"/>
        <w:bidi w:val="0"/>
        <w:spacing w:before="0" w:after="0"/>
        <w:ind w:left="960" w:right="0" w:hanging="480"/>
        <w:jc w:val="both"/>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68"/>
        <w:gridCol w:w="320"/>
        <w:gridCol w:w="752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CD Youyineng, which was established on October 29, 2020 and is wholly owned by AHYS;</w:t>
            </w:r>
          </w:p>
        </w:tc>
      </w:tr>
    </w:tbl>
    <w:p>
      <w:pPr>
        <w:pStyle w:val="TextBody"/>
        <w:bidi w:val="0"/>
        <w:spacing w:before="0" w:after="0"/>
        <w:ind w:left="960" w:right="0" w:hanging="48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68"/>
        <w:gridCol w:w="320"/>
        <w:gridCol w:w="83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 Youteng, which was established on November 3, 2020 and AHYS holds 70% of its equity interest;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 Youxu, which was established on March 22, 2021 and AHYS holds 70% of its equity interest. SH Youxu has the following subsidiaries: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Quanzhou Youyi Power Exchange Network Technology Co., Ltd., which was established on June 29, 2021 and is wholly owned by SH Youxu;</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Youxu (Xiamen) Power Exchange Network Technology Co., Ltd., which was established on August 10, 2021 and is wholly owned by SH Youxu;</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Wuhu Youxu New Energy Technology Co., Ltd., which was established on November 12, 2021 and is wholly owned by SH Youxu;</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Henan Youxu New Energy Technology Co., Ltd., which was established on December 1, 2022 and SH Youxu owns 80% of its equity interest;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Youxu New Energy Technology (Nanyang) Co., Ltd., which was established on March 14, 2023 and SH Youxu owns 70% of its equity interest;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Shanghai Younengke New Energy Technology Co., Ltd., which was established on July 11, 2025 and is wholly owned by SH Youxu;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Youxu New Energy Technology (Jilin) Co., Ltd., which was established on January 22, 2026 and is wholly owned by SH Youxu.</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Youpin SD, which was established on June 30, 2020 and AHYS holds 86.96% of its equity interest. Youpin SD has the following subsidiaries: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Youxu New Energy Technology (Zibo) Co., Ltd., which was established on July 29, 2021 and Youpin SD owns 98.0392% of its equity interest.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Zibo Hengxin Investment Partnership Enterprise (Limited Partnership), which was established on November 2, 2020 and Youpin SD owns 99.0099% of its equity interest.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 SWAP Co., Ltd., which was established on June 13, 2024 and AHYS owns 85% of its equity interest. U SWAP Co., Ltd has the following subsidiary: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Greendrive Tech Co., Ltd., which was established on March 5, 2025, and is owned 70% by USWAP Co., Ltd. and 30% by Ezzy Transporter (Thailand) Company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2013, AHYS and its subsidiaries have principally engaged in the provision of vehicle sourcing services. Beginning in 2020, AHYS and its subsidiaries gradually shifted focus from the vehicle sourcing business to the development of their proprietary battery-swapping technology, or UOTTA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Reorganization in Connection with Our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(the “IPO”), which was closed in April 2023, we undertook a reorganization (the “Reorganization”) in the following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2021, Upincar was incorporated under the laws of the Cayman Islands. Upincar owns 100% of Youcang Limited, a British Virgin Islands company incorporated on June 30, 2021. Youcang Limited owns 100% of Energy U Limited, a Hong Kong company incorporated on July 19,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2022, WFOE was incorporated pursuant to the PRC laws as a wholly foreign owned enterprise. Energy U Limited holds 100% of the equity interest in WFOE.  On July 8, 2022, WFOE acquired 99% equity interest in AHYS for RMB217,774,286.31. On December 12, 2022, WFOE acquired the remaining 1% equity interest in AHYS from U Robur Limited (HK), a Hong Kong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on June 17, 2021. Exempted companies are Cayman Island companies conducting business mainly outside the Cayman Islands and, as such, are exempted from complying with certain provisions of the Companies Act (As Revised)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3562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562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25, 2024, U SWAP Co., Ltd., signed a cooperation agreement with Ezzy Transporter (Thailand) Company Limited to establish Greendrive Tech Co. Ltd in Thailand. On March 5, 2025, Greendrive Tech Co., Ltd. was incorporated in Thailand. As of the date of this annual report, Swap Co Ltd. holds a 70% equity interest in Greendrive Tech Co. Ltd. and Ezzy Transporter (Thailand) Company Limited holds the remaining 30% equity interest. See “Item 4. Information on the Company — A. History and Development of the Company — Joint Venture in Thailand.”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Reasons for the Offer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significant risks. You should carefully consider all of the information in this annual report before making an investment in our Class A Ordinary Shares. Below please find a summary of the principal risks we face, organized under relevant headings. These risks are discussed more fully in the section titled “Item 3. Key Information — D. Risk Factors”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doing business in China include, but are not limited to, the following: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China’s economic, political or social conditions, laws, regulations or governmental policies could have a material adverse effect on our business, financial conditions and results of operations. PRC laws and regulations governing our current business operations are sometimes vague and uncertain and any changes in such laws and regulations may impair our ability to operate profitably (see page 11 of this annual report);</w:t>
            </w:r>
          </w:p>
        </w:tc>
      </w:tr>
    </w:tbl>
    <w:p>
      <w:pPr>
        <w:pStyle w:val="TextBody"/>
        <w:bidi w:val="0"/>
        <w:spacing w:before="0" w:after="0"/>
        <w:ind w:left="76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uncertainties in the promulgation, interpretation and enforcement of PRC laws and regulations could limit the legal protections available to you and us (see page 12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continue to offer securities to investors, and may cause the value of such securities to significantly decline or be worthless (see page 12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subject to a variety of laws and regulations in the PRC regarding privacy, data security, cybersecurity, and data protection (see page 13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M&amp;A Rules and certain other PRC regulations may make it more difficult for us to pursue growth through acquisitions (see page 18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 (see page 21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exchange rates could have a material and adverse effect on our results of operations and the value of your investment (see page 23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control of currency conversion may limit our ability to utilize our income effectively and affect the value of your investment (see page 23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 (see page 24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HFCAA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 (see page 25 of this annual report); and</w:t>
            </w:r>
          </w:p>
        </w:tc>
      </w:tr>
    </w:tbl>
    <w:p>
      <w:pPr>
        <w:pStyle w:val="TextBody"/>
        <w:bidi w:val="0"/>
        <w:spacing w:before="0" w:after="0"/>
        <w:ind w:left="76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international trade policies, or the escalation of tensions in international relations, particularly with regard to China, may adversely impact our business and operating results (see page 26 of this annual report);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disputes or the imposition of tariffs on imports and exports could affect international trade, and therefore could adversely affect our business.</w:t>
            </w:r>
          </w:p>
        </w:tc>
      </w:tr>
    </w:tbl>
    <w:p>
      <w:pPr>
        <w:pStyle w:val="TextBody"/>
        <w:bidi w:val="0"/>
        <w:spacing w:before="0" w:after="0"/>
        <w:ind w:left="765"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business and industry include, but are not limited to,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substantial losses in the past and may incur losses in the future. There is substantial doubt about our ability to continue as a going concern (see page 28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limited operating history in an emerging and fast-growing market, and our historical financial and operating performance may not be indicative of our future prospects and results of operations (see page 28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68"/>
        <w:gridCol w:w="200"/>
        <w:gridCol w:w="8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intense competition and may not be able to compete effectively (see page 29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effectively manage our growth, control expenses or implement business strategies, any of which events may cause our PRC subsidiaries to be unable to provide services or deliver products with premium quality or compete effectively (see page 30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harm to our brands or reputation or any damage to the reputation of the third parties with whom we collaborate or failure to enhance brand recognition could have a material adverse effect on our results of operations and growth prospects (see page 30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prevent others from unauthorized use of our intellectual property, which could harm our business and competitive position (see page 31 of this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Some of our patent applications on UOTTA technology are currently pending, we cannot assure you that such patents will be approved, and we may not be able to prevent others from developing or exploiting competing technologies, which could have a material and adverse effect on our business, results of operations, financial condition and prospects (see page 32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significant disruption in our IT systems, including events beyond our control, or disruptions in our business partners’ IT systems, could have a material and adverse effect on our business and financial condition (see page 33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 (see page 34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will be harmed if overall consumer demand suffers from a severe or sustained economic downturn or if there is an oversupply in the automobile industry, the EV industry or the battery-swapping station sector (see page 35 of this annual report); and</w:t>
            </w:r>
          </w:p>
        </w:tc>
      </w:tr>
    </w:tbl>
    <w:p>
      <w:pPr>
        <w:pStyle w:val="TextBody"/>
        <w:bidi w:val="0"/>
        <w:spacing w:before="0" w:after="0"/>
        <w:ind w:left="720" w:right="0" w:hanging="36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68"/>
        <w:gridCol w:w="200"/>
        <w:gridCol w:w="8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seasonality of the automobile industry impacts our operating results (see page 36 of this annual report).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Vehicle Sourcing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vehicle sourcing business, but are not limited to,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vehicle sourcing network is crucial to the success of our vehicle sourcing business; if we fail to further develop or maintain our business relationships with sourcing partners at a sustainable cost, or at all, our vehicle sourcing business, financial condition and prospects would be adversely affected (see page 38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commissions from our sourcing services may decline in the future, and any material decrease in such commissions could harm our business, financial condition and results of operations (see page 39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intense competition in the sourcing market and may not be able to compete effectively (see page 39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relating to the growth of the Chinese automotive markets in general could adversely affect our sourcing business and results of operations (see page 39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05"/>
        <w:gridCol w:w="200"/>
        <w:gridCol w:w="9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is sensitive to changes in the prices of new and used vehicles (see page 40 of this annual report);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rely on third-party carriers to transport vehicles to our customers, and they are subject to associated business risks and costs and with those of the transportation industry, generally, many of which risks and costs would be out of our control (see page 40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UOTTA-powered EV and Battery-Swapping Station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UOTTA-powered EV and Battery-Swapping Station business include, but are not limited to,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encounter difficulties in entering into the EV market, which may materially and adversely affect our growth and business prospects (see page 40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growth is dependent upon the demand for, and upon consumers’ willingness to adapt to, EVs and battery-swapping stations as a power solution (see page 41 of this annual report);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Our success depends on our ability to successfully develop, market and sell UOTTA-powered EVs and battery-swapping stations (see page 42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UOTTA-powered EVs and battery-swapping stations do not meet the expectations of customers and users, our business, financial condition and competitive position will be materially and adversely affected (see page 42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encounter difficulty promoting and marketing UOTTA-powered EVs and battery-swapping stations because of the lack of unified industry standards on EV batteries (see page 42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reliance on third parties for manufacturing UOTTA-powered commercial-use EVs and battery-swapping stations increases the risk that the supply of our products may become limited or interrupted or may not be of satisfactory quality and quantity (see page 43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we fail to comply with regulatory requirements, our business could be adversely affected (see page 44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fail to maintain our strategic partnerships with auto manufacturers to jointly develop UOTTA-powered EVs (see page 44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depend on third parties for the supply of components and parts to manufacture battery-swapping stations (see page 44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could experience cost increases or disruptions in supply of raw materials or other components used in the manufacturing of battery-swapping stations (see page 45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Adverse conditions affecting one or more of our cooperating automobile manufacturers, battery-swapping station manufacturers and suppliers may negatively impact our business, financial condition and prospects (see page 45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UOTTA-powered EVs we jointly develop with cooperating automobile manufacturers are subject to motor vehicle safety standards and the failure to satisfy such mandated safety standards would have a material adverse effect on our business and operating results (see page 46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and operation of our battery-swapping station manufacturing facilities are subject to regulatory approvals or filings and may be subject to changes, delays, cost overruns or may not produce expected benefits (see page 46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unavailability, reduction or elimination of government and economic incentives or government policies which are favorable for EVs, domestically produced vehicles or battery-swapping stations could have a material adverse effect on our business, financial condition and prospects (see page 46 of this annual report).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Class A Ordinary Shares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Class A Ordinary Shares and the trading market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active trading market for our Class A Ordinary Shares may not develop or sustain, and the trading price for our Class A Ordinary Shares may fluctuate significantly (see page 47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Class A Ordinary Shares has been, and is likely to continue to be, volatile, which could result in substantial losses to investors (see page 47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extreme stock price volatility unrelated to our actual or expected operating performance, financial condition or prospects, making it difficult for prospective investors to assess the rapidly changing value of our Class A Ordinary Shares (see page 48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sale or availability for sale of substantial amounts of our Class A Ordinary Shares could adversely affect their market price (see page 49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do not expect to pay dividends in the foreseeable future, you must rely on price appreciation of our Class A Ordinary Shares for return on your investment (see page 49 of this annual report);</w:t>
            </w:r>
          </w:p>
        </w:tc>
      </w:tr>
    </w:tbl>
    <w:p>
      <w:pPr>
        <w:pStyle w:val="TextBody"/>
        <w:bidi w:val="0"/>
        <w:spacing w:before="0" w:after="0"/>
        <w:ind w:left="720" w:right="0" w:hanging="36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68"/>
        <w:gridCol w:w="200"/>
        <w:gridCol w:w="77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incur substantially increased costs as a public company (see page 50 of this annual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 xml:space="preserve">If we fail to maintain our Nasdaq listing, we may face increased regulatory burdens and reduced investor protections on over-the-counter markets (see page 51 of this annual report);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 xml:space="preserve">Nasdaq has proposed a new $5 million minimum market value continued listing requirement that, if approved, could result in immediate suspension and delisting of our Class A Ordinary Shares without any cure period or opportunity to regain compliance (see page 51 of this annual report); and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Geopolitical conflicts involving Iran, military actions in the Middle East, and the war in Ukraine may adversely affect global economic conditions and cause significant volatility in the trading price of our Class A Ordinary Shares (see page 52 of this annual report).</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Capital Structure,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dual class share structure with different voting rights may adversely affect the value and liquidity of the Class A Ordinary Shares (see page 52 of this annual report);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dual class share structure with different voting rights will limit your ability to influence corporate matters and could discourage others from pursuing any change of control transactions that holders of our Class A Ordinary Shares may view as beneficial (see page 52 of this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laws, regulations or governmental policies could have a material adverse effect on our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revenues are generated by our PRC subsidiaries. Accordingly, our results of operations, financial condition and prospects are influenced by economic, political and legal developments in China. Economic reforms begun in the late 1970s have resulted in significant economic growth. China’s economy differs from the economies of most developed countries in many respects, including with respect to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PRC economy has grown significantly in the past, that growth may not continue, as evidenced by the slowing of the growth of the PRC economy since 2012. Any adverse changes in economic conditions in China, in the policies of the PRC government or in the laws and regulations in China could have a material adverse effect on a specific industry including our PRC subsidiaries in China. Such developments could adversely affect our PRC subsidiaries’ business and operating results, lead to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adjustments, to control the pace of economic growth. These measures may cause decreased economic activities in China, which may adversely affect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operating entities’ ability to operate profitably in the PRC may be adversely affected by changes in policies by the PRC government, including changes in laws, regulations, or their interpretation, particularly those regarding the Internet, including censorship and other restrictions on material which can be transmitted over the Internet, security, intellectual property, money laundering, taxation, and other laws that affect our ability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regulations governing our current business operations are sometimes vague and uncertain and any changes in such laws and regulations may impair our ability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substantial uncertainties regarding the interpretation and application of PRC laws and regulations including, but not limited to, the laws and regulations governing our business and the enforcement and performance of our arrangements with customers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their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uncertainties in the promulgation, interpretation and enforcement of PRC laws and regulations could limit the legal protections available to you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 Unlike the common law system, prior court decisions under the civil law system may be cited for reference but have limited precedential value. Since these laws and regulations are relatively new and the PRC legal system continues to rapidly evolve, the promulgation of new rules and explanations and interpretations of many laws, regulations and rules are not always uniform and enforcement of these laws, regulations and rules involves uncertainties. 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Specifically, rules and regulations in China can change quickly with little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or our PRC subsidiaries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PRC subsidiaries’ business and impede their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continue to offer securities to investors, and may cause the value of such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are not a Chinese company. As a holding company with no material operations of our own, we conduct all of our operations through our PRC operating entities in China. As such, our corporate structure involves unique risks to investors. There are legal and operational risks associated with having operations in mainland China, and the Chinese regulatory authorities could disallow this ownership structure, which would likely result in a material change in our operations and/or a material change in the value of the securities we are registering for sale, including that it could cause the value of such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meeting of the Political Bureau of the CPC Central Committee held on July 30, 2021, the improvement of the regulatory system for overseas listing of enterprises was first proposed. On February 17, 2023, the CSRC released the Trial Administrative Measures of Overseas Securities Offering and Listing by Domestic Companies, or the Overseas Listing Trial Measures, and five supporting guidelines, which came into effect on March 31, 2023. Pursuant to the Overseas Listing Trial Measures, domestic companies that seek to offer or list securities overseas, whether directly or indirectly, should fulfil the filing procedures and submit relevant information to the CSRC.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detailed implementations are still unclear, the supervision of overseas listing of Chinese stocks may continue to tighten. The Chinese government has exercised, and continues to exercise, substantial control over virtually every sector of the Chinese economy through regulation and state ownership. The ability of our operating entities to operate in China may be impaired by changes in its laws and regulations, including those relating to taxation, environmental regulations, land use rights, foreign investment limitations, and other matters. The central or local governments of China may impose new, stricter regulations or interpretations of existing regulations that would require additional expenditures and efforts on our part to our compliance with such regulations or interpretations. As such, we may be subject to various government and regulatory interference in the provinces in which we operate. We could be subject to regulation by various political and regulatory entities, including various local and municipal agencies and government sub-divisions. We may incur increased costs necessary to comply with existing and newly adopted laws and regulations or penalties for any failure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it is uncertain when and whether we will be required to obtain permission from the PRC government to list on U.S. exchanges in the future, and even when such permission is obtained, whether it will be denied or rescinded. Although we believe that we are currently not required to obtain permission from any Chinese authorities and have not received any notice of denial of permission to list on the U.S. exchange, our operations could be adversely affected, directly or indirectly, by existing or future laws and regulations relating to the PRC operating entities’ business or industry, particularly in the event permission to list on U.S. exchanges may be later required, or withheld or rescinded once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government actions in the future, including any decision to intervene or influence our operations at any time or to exert control over an offering of securities conducted overseas and/or foreign investment in China-based issuers, may cause us to make material changes to our operations, may limit or completely hinder our ability to continue to offer securities to investors, and/or may cause the value of such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a variety of laws and regulations in the PRC regarding privacy, data security, cybersecurity, and data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a variety of laws and regulations in the PRC regarding privacy, data security, cybersecurity, and data protection. These laws and regulations are continuously evolving and developing. The scope and interpretation of the laws that are or may be applicable to us are often uncertain and may be conflicting. In particular, there are a number of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or Cyber Security Law, which became effective on June 1, 2017. The Cyber Security Law is the first PRC law that systematically lays out the regulatory requirements on cybersecurity and data protection, subjecting many previously under-regulated or unregulated activities in cyberspace to government scrutiny. Pursuant to the Cyber 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 The legal consequences of violation of the Cyber Security Law include penalties such as warnings, confiscation of illegal income, suspension of related business, winding up for rectification, shutting down the websites, and revocation of business license or relevant permits. As of the date of this annual report, we have not been involved in any investigations or cybersecurity reviews by the CAC, and we have not received any inquiry, notice, warning, or sanction in such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Civil Code of the PRC (issued by the PRC National People’s Congress on May 28, 2020, and effective from January 1, 2021) provides the main legal basis for privacy and personal information infringement claims under the Chinese civil laws. PRC regulators, including the CAC, Ministry of Industry and Information Technology, and the Ministry of Public Security, have been increasingly focused on regulation in the areas of data security and data protection. The PRC regulatory requirements regarding cybersecurity are constantly evolving. For instance, various regulatory bodies in China, including the CAC, the Ministry of Public Security and the State Administration for Market Regulation, have enforced data privacy and protection laws and regulations with varying and evolving standards and interpretations.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the State Council promulgated the Regulations on Security Protection of Critical Information Infrastructure, or the CII Regulations, which became effective on September 1, 2021. Pursuant to the CII Regulations, critical information infrastructure refers to any important network facilities or information systems of an important industry or field such as public communication and information service, energy, transport, water conservation, finance, public services, e-government affairs, science and technology industry for national defense and other industries and sectors that may seriously endanger national security, people’s livelihood and public interest in case of damage, function loss or data leakage. In addition, relevant administration departments of each critical industry and sector are responsible for formulating eligibility criteria and determining the critical information infrastructure in the respective industry or sector. The operators will be informed about the final determination as to whether they are categorized as critical information infrastructure operators, or CIIOs.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 detailed rules or interpretations have been issued and we have not been informed by any governmental authorities that we are a CIIO. However, the exact scope of CIIOs under the current regulatory regime remains unclear, and the PRC governmental authorities have discretion in the interpretation and enforcement of these laws and regulations. Therefore, it is uncertain whether we would be deemed as a CIIO under PRC law. According to our PRC counsel, Guantao Law Firm, if we are identified as CIIO, we will be subject to stricter requirements on business operations and cybersecurity compliance, and we may need to follow cybersecurity review procedure and apply with Cybersecurity Review Office before making certain purchases of network products and services, and if a cybersecurity review is applicable, we may be required to suspend providing any existing or new services to our users, and we may experience other disruptions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and other twelve PRC regulatory authorities jointly revised and promulgated the Measures for Cybersecurity Review, or the Cybersecurity Review Measures, which is consistent with the Cybersecurity Review Measures (Revision Draft for Comment) announced by the CAC on July 10, 2021.Pursuant to the Cybersecurity Review Measures: (i) “operator of critical information infrastructure” should take the initiative to report to the Cybersecurity Review Office for cybersecurity review when purchasing network products and services which affects or may affect national security; (ii) network platform operators possessing the personal information of more than one million users must apply to the Cybersecurity Review Office for cybersecurity review when list abroad; and (iii) data processor carrying out data processing activities that affect or may affect national security should be subject to cybersecurity review. The Cybersecurity Review Measures further elaborated on the factors to be considered when assessing the national security risks of the relevant activities, including, among others, (a) the risk of core data, important data or a large amount of personal information being stolen, leaked, destroyed, and illegally used or exited the country; and (b) the risk of critical information infrastructure, core data, important data or a large amount of personal information being affected, controlled, or maliciously used by foreign governments after listing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State Council of China published the Regulations on Network Data Security Administration, which provides that data processing operators engaging in data processing activities that affect or may affect national security must be subject to network data security review by the relevant cyberspace administration of the PRC. The Regulations on Network Data Security Administration became effective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in consultation with our PRC counsel, Guantao Law Firm, that we have none of the aforesaid factors in our business, and given that: (i) we have not been informed that we are an operator of critical information infrastructure by any governmental authorities; (ii) we do not possess the personal information of more than one million users; and (iii) the type and nature of the personal information we gather is of relatively low national security significance. However, there remains uncertainty as to how the Cybersecurity Review Measures will be interpreted or implemented and whether the PRC regulatory agencies, including the CAC, may adopt new laws, regulations, rules, or detailed implementation and interpretation related to the Cybersecurity Review Measures. If a cybersecurity review is required, we will actively cooperate with the CAC to conduct such cybersecurity review. According to our PRC counsel, any failure to comply with applicable laws or regulations or any other obligations relating to privacy, data protection or information security, or any compromise of security that results in unauthorized access, collection, transfer, use or release of personally identifiable information or other data, or the perception or allegation that any of the foregoing types of failure or compromise has occurred, could damage our reputation or result in investigations, fines, or other penalties by government authorities and private claims or litigation, any of which could materially adversely affect our business, financial condition and results of operations. If any such new laws, regulations, rules, or implementation and interpretation comes into effect, we will take all reasonable measures and actions to comply and to minimize the adverse effect of such laws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NPC promulgated the PRC Data Security Law, which took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the costs of compliance with, and other burdens imposed by, CSL and any other cybersecurity and related laws may limit the use and adoption of our products and services and could have an adverse impact on our business. Any organizational or individual data processing activities that violate the Data Security Law shall bear the corresponding civil, administrative or criminal liabilities depending on specific circumstances. During the years ended December 31, 2020, 2021, and 2022, and up to the date of this annual report, we had not experienced any material data or personal information leakage or loss, infringement of data or personal information, or information security incident, nor had we been subject to or involved in any official inquiry, examination, warning, interview on cybersecurity, data security and personal information protection by relevant competent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NPC approved the Personal Information Protection Law (“PIPL”), which became effective on November 1, 2021. The PIPL regulates collection of personal identifiable information and seeks to address the issue of algorithmic discrimination. Companies in violation of the PIPL may be subject to warnings and admonishments, forced corrections, confiscation of corresponding income, suspension of related services, and fines. As of the date of this annual report, we have not received any personal data protection related administrative warnings or penalties from any competent PRC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PRC regulatory agencies, including the CAC, would take the same view as we do, and there is no assurance that we and/or our PRC subsidiaries can fully or timely comply with such laws as our business develops. In the event that we or our PRC subsidiaries are subject to any mandatory cybersecurity review and other specific actions required by the CAC, we face uncertainty as to whether any clearance or other required actions can be timely completed, or at all. Given such uncertainty, we and/or our PRC subsidiaries may be further required to suspend the relevant business, or face other penalties, which could materially and adversely affect our business, financial condition, and results of operations. From time to time, we communicate with the competent authorities, including the local branch of the CAC, and expect to closely monitor and assess further regulatory developments regarding cybersecurity and data privacy laws, including the development on cybersecurity review, and comply with the latest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us or our management named in the annual report based on foreign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However, we conduct substantially all of our operations through our PRC subsidiaries in China and substantially all of our assets are located in China. In addition, most of our senior executive officers reside within China for a significant portion of the time and many of them are PRC nationals. As a result, it may be difficult for you to effect service of process upon us, or our management named in this annual report inside mainland China. It may also be difficult for you to enforce in U.S. courts of the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Furthermore, class action lawsuits, which are available in the United States for investors to seek remedies, are generally uncommon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regulators to conduct investigations or collect evidence within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In addition, entities or individuals are prohibited from providing documents and information in connection with any securities business activities to any organizations and/or persons aboard without the prior consent of the securities regulatory authority of the State Council and the competent departments of the State Council.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 </w:t>
      </w:r>
      <w:r>
        <w:rPr>
          <w:rFonts w:ascii="Times New Roman;Times;Serif" w:hAnsi="Times New Roman;Times;Serif"/>
          <w:b w:val="false"/>
          <w:i/>
          <w:caps w:val="false"/>
          <w:smallCaps w:val="false"/>
          <w:sz w:val="20"/>
        </w:rPr>
        <w:t>Risks Relating to Our Class A Ordinary Shares and the Trading Market — You may face difficulties in protecting your interests, and your ability to protect your rights through U.S. courts may be limited, because we are incorporated under Cayman Islands law</w:t>
      </w:r>
      <w:r>
        <w:rPr>
          <w:rFonts w:ascii="Times New Roman;Times;Serif" w:hAnsi="Times New Roman;Times;Serif"/>
          <w:b w:val="false"/>
          <w:i w:val="false"/>
          <w:caps w:val="false"/>
          <w:smallCaps w:val="false"/>
          <w:sz w:val="20"/>
        </w:rPr>
        <w:t>” for risks associated with investing in us as a Cayman Islands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PRC resident enterprise for PRC income tax purposes, such classification could result in unfavorable tax consequences to us and our non-PRC shareholders or ordinary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The Notice Regarding the Determination of Chinese-Controlled Offshore-Incorporated Enterprises as PRC Tax Resident Enterprises on the Basis of De Facto Management Bodies, which was issued by the State Administration of Taxation on April 22, 2009 and further amended on December 29, 2018, or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none of our PRC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subject to any reduction set forth in applicable tax treaties. In addition, non-resident enterprise shareholders may be subject to PRC tax at a rate of 10% on gains realized on the sale or other disposition of Class A Ordinary Shares, if such income is treated as sourced from within the PRC. Furthermore, if we are deemed a PRC resident enterprise, dividends payable to our non-PRC individual shareholders and any gain realized on the transfer of Class A Ordinary Shares or Class A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or area of tax residence and the PRC in the event that we are treated as a PRC resident enterprise. Any such tax may reduce the returns on your investment in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uncertainties with respect to indirect transfer of equity interests in PRC resident enterprises by our non-PRC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the State Administration of Taxation issued the Bulletin on Issues of Enterprise Income Tax on Indirect Transfers of Assets by Non-PRC Resident Enterprises or Bulletin 7. Pursuant to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State Administration of Taxation issued the Announcement of the State Administration of Taxation on Issues Concerning the Withholding of Non-resident Enterprise Income Tax at Source, or Bulletin 37, which came into effect on December 1, 2017. Bulletin 37 further clarifies the practice and procedure of the withholding of non-resident 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on the reporting and consequences of past or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obligations, and request our PRC subsidiaries to assist in the filing. As a result, we and non-resident enterprises in such transactions may become at risk of being subject to filing obligations or being taxed under Bulletin 7 and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have the discretion under Bulletin 7 to make adjustments to the taxable capital gains based on the difference between the fair value of the taxable assets transferred and the cost of investment. If the PRC tax authorities make adjustments to the taxable income of the transactions under Bulletin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make adequate contributions to various employee benefit plans and withhold individual income tax on employees’ salaries as required by PRC regulations or comply with laws and regulations on other employment practices may subject us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PRC subsidiaries’ employees up to a maximum amount specified by the local government from time to time at locations where our PRC subsidiaries operate their businesses. The requirement of employee benefit plans has not been implemented consistently by the local governments in China given the different levels of economic development in different locations. Companies operating in China are also required to withhold individual income tax on employees’ salaries based on the actual salary of each employee upon payment. Our PRC subsidiaries have been making social payments for employee benefits of at least at the minimum wage level for all eligible employees, while the applicable PRC laws and regulations on employee benefits stipulate that employers shall be responsible for making payments based on the actual wage paid to employees. With respect to the underpaid employee benefits, our PRC subsidiaries may be required to complete registrations, make up the contributions for these plans as well as to pay late fees and fines. With respect to the under-withheld individual income tax, our PRC subsidiaries may be required to make up sufficient withholding and pay late fees and fines. If they are subject to late fees or fines in relation to the underpaid employee benefits and under-withheld individual income tax, our financial condition and results of operations may be adversely affected. Our PRC subsidiaries may also be subject to regulatory investigations and other penalties if their other employment practices are deemed to be in violation of relevant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enforcement of the PRC Labor Contract Law and other labor-related regulations in the PRC may subject our PRC subsidiaries to penalties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Labor Contract Law, which was enacted in 2008 and amended in 2012,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 non-fixed 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non-fixed term, subject to certain exceptions. With certain exceptions, an employer must pay severance to an employee where a labor contract is terminated or expires. In addition, the PRC governmental authorities have continued to introduce various new labor-related regulations since the effectiveness of the Labor Contract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laws and regulations designed to enhance labor protection tend to increase our labor costs. In addition, as the interpretation and implementation of these regulations are still evolving, our PRC subsidiaries’ employment practices may not at all times be deemed in compliance with the regulations. As a result, we could be subject to penalties or incur significant liabilities in connection with labor disputes or investigations.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may make it more difficult for us to pursue growth through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or the M&amp;A Rules, adopted by six PRC regulatory agencies in 2006 and amended in 2009, and some other regulations and rules concerning mergers and acquisitions established complex procedures and requirements for acquisition of Chinese companies by foreign investors, including requirements in some instances that the Ministry of Commerce of the PRC be notified in advance of any change-of-control transaction in which a foreign investor takes control of a PRC domestic enterprise. Moreover, the Anti-Monopoly Law promulgated by the Standing Committee of the National People’s Congress, which became effective in 2008, requires that where the concentration of business operators reaches the filing thresholds stipulated by the State Council, business operators shall file a declaration with the State Administration for Market Regulation, or SAMR, and no concentration shall be implemented until the SAMR clears the anti-monopoly filing. In addition, the security review rules issued by the Ministry of Commerce and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pursue potential strategic acquisitions that are complementary to our business and operations. Complying with the requirements of the above-mentioned regulations and other rules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 Furthermore, according to the M&amp;A Rules, if a PRC entity or individual plans to merger or acquire its related PRC entity through an overseas company legitimately incorporated or controlled by such entity or individual, such a merger and acquisition will be subject to examination and approval by the Ministry of Commerce. The application and interpretations of M&amp;A Rules are still uncertain, and there is possibility that the PRC regulators may promulgate new rules or explanations requiring that us obtain approval of the Ministry of Commerce for our completed or ongoing mergers and acquisitions. There is no assurance that we can obtain such approval from the Ministry of Commerce for our mergers and acquisitions, and if we fail to obtain those approvals, we may be required to suspend our acquisition and be subject to penalties. Any uncertainties regarding such approval requirements could have a material adverse effect on our business, results of operations and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 In addition, any failure to comply with PRC regulations with respect to registration requirements for offshore financing may subject us to legal or administrative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who are PRC residents and may be applicable to any offshore acquisitions that we make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foreign exchange regulations, PRC residents who make, or have previously made, prior to the implementation of these foreign exchange regulations, direct or indirect investments in offshore companies are required to register those investments. In addition, any PRC resident who is a direct or indirect shareholder of an offshore company is required to update its previously filed SAFE registration, to reflect any material change involving its round-trip investment. If any PRC shareholder fails to make the required registration or update the previously filed registration, the PRC subsidiary of that offshore parent company may be restricted from distributing their profits and the proceeds from any reduction in capital, share transfer or liquidation to their offshore parent company, and the offshore parent company may also be restricted from injecting additional capital into its PRC subsidiary. Moreover, failure to comply with the various foreign exchange registration requirements described above could result in liability under PRC laws for evasion of applicable foreign exchange restrictions, including (i) the requirement by SAFE to return the foreign exchange remitted overseas or into the PRC within a period of time specified by SAFE, with a fine of up to 30% of the total amount of foreign exchange remitted overseas or into PRC and deemed to have been evasive or illegal and (ii) in circumstances involving serious violations, a fine of no less than 30% of and up to the total amount of remitted foreign exchange deemed evasive or illegal.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complying with and to ensuring that our shareholders who are subject to these regulations will comply with the SAFE rules and regulations. However, due to the inherent uncertainty in the implementation of the regulatory requirements by the PRC authorities, such registration might not be always practically available in all circumstances as prescribed in those regulations. In addition, we may not always be able to compel them to comply with SAFE Circular 37 or other related regulations. We cannot assure you that SAFE or its local branches will not release explicit requirements or interpret the PRC laws and regulations otherwise. We may not be fully informed of the identities of all our shareholders or beneficial owners who are PRC residents, and we cannot provide any assurance that all of our shareholders and beneficial owners who are PRC residents will comply with our request to make, obtain or update any applicable registrations or comply with other requirements under SAFE Circular 37 or other related rules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governmental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This may restrict our ability to implement our acquisition strategy and could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offshore financing activities, such as the issuance of foreign debt, are also subject to PRC laws and regulations. In accordance with such laws and regulations, we may be required to complete filing and registration with the National Development and Reform Commission prior to such activities. Failure to comply with the requirements may result in administrative meeting, warning, notification and other regulatory penalties and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materially adversely affected if our shareholders and beneficial owners who are PRC entities fail to comply with the PRC overseas investment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2017, the National Development and Reform Commission, or NDRC, promulgated the Administrative Measures on Overseas Investments, which took effect as of March 1, 2018. According to this regulation, non-sensitive overseas investment projects are subject to record-filing requirements with the local branch of the NDRC. On September 6, 2014, the Ministry of Commerce promulgated the Administrative Measures on Overseas Investments, which took effect as of October 6, 2014. According to this regulation, overseas investments of PRC enterprises that involve non-sensitive countries and regions and non-sensitive industries are subject to record-filing requirements with a local branch of Ministry of Commerce. According to the Circular of the State Administration of Foreign Exchange on Issuing the Regulations on Foreign Exchange Administration of the Overseas Direct Investment of Domestic Institutions, which was promulgated by the State Administration of Foreign Exchange, or SAFE, on July 13, 2009 and took effect on August 1, 2009, PRC enterprises must register for overseas direct investment with a local SAFE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fully informed of the identities of all of our shareholders or beneficial owners who are PRC entities, and we cannot provide any assurance that all of our shareholders and beneficial owners who are PRC entities will comply with our request to complete the overseas direct investment procedures under the aforementioned regulations or other related rules in a timely manner, or at all. If they fail to complete the filings or registrations required by the overseas direct investment regulations, the authorities may order them to suspend or cease the implementation of such investment and make corrections within a specified time, which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we rely principally on dividends and other distributions on equity from our PRC subsidiaries for our cash requirements, including the funds necessary to pay dividends and other cash distributions to our shareholders for services of any debt we may incur. If any of our PRC subsidiaries incurs debt on its own behalf in the future, the instruments governing the debt may restrict its ability to pay dividends or make other distributions to us. Under PRC laws and regulations, our PRC subsidiaries, which are foreign-owned enterprises, may pay dividends only out of their respective accumulated profits, as determined in accordance with PRC accounting standards and regulations. In addition, a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Some of our subsidiaries are required to allocate general risk reserves prior to the distribution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generate essentially all of their revenue in Renminbi, which is not freely convertible into other currencies. As a result, any restriction on currency exchange may limit the ability of our PRC subsidiaries to use their Renminbi revenues to pay dividends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funds and assets among the Company, its Hong Kong and PRC subsidiaries is subject to governmental control and restriction. The competent PRC government imposes controls on the conversion of the RMB into foreign currencies and the remittance of currencies out of mainland China. In addition, the PRC Enterprise Income Tax Law and its implementation rules provide that a withholding tax at a rate of 10% will be applicable to dividends payable by Chinese companies to enterprises that are not mainland China resident enterprises, unless reduced under treaties or arrangements between the PRC central government and the governments of other countries or regions where the enterprises that are not mainland China resident enterprises are tax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there are no restrictions or limitations imposed by the Hong Kong government on the transfer of capital within, into and out of Hong Kong (including funds from Hong Kong to the PRC), except for the transfer of funds involving money laundering and criminal activities. However, there is no guarantee that the Hong Kong government will not promulgate new laws or regulations that may impose such restrictions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to the extent cash or assets of our business, or of our PRC or Hong Kong subsidiaries, is in mainland China or Hong Kong, such funds or assets may not be available to fund operations or for other use outside of the PRC or Hong Kong, due to interventions in or the imposition of restrictions and limitations by the competent government to the transfer of cash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PRC income tax on dividends from us or on any gain realized on the transfer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Law and its implementation rules, PRC withholding tax at a rate of 10% is generally applicable to dividends from PRC sources paid to investors that are resident enterprises outside of China and that do not have an establishment or place of business in China, or that have an establishment or place of business in China if the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all of our business operations are conducted by our PRC subsidiaries in China, it is unclear whether the dividends we pay with respect to our Class A Ordinary Shares, or the gains realized from the transfer of our shares, would be treated as income derived from sources within China and as a result be subject to PRC income tax if we are considered a PRC resident enterprise. If PRC income tax is imposed on gains realized through the transfer of our Class A Ordinary Shares or on dividends paid to our non-resident investors, the value of your investment in our Class A Ordinary Shares may be materially and adversely affected. Furthermore, our shareholders whose jurisdictions of residence have tax treaties or arrangements with China may not qualify for benefits under these tax treaties or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Double Tax Avoidance Arrangement between Hong Kong and China, if a Hong Kong resident enterprise owns more than 25% of the equity interest of a PRC company at all times during the twelve-month period immediately prior to obtaining a dividend from such company, the 10% withholding tax on the dividend is reduced to 5%, provided that certain other conditions and requirements are satisfied at the discretion of the PRC tax authority. However, based on the Notice on Certain Issues with Respect to the Enforcement of Dividend Provisions in Tax Treaties, issued in 2009 by the State Administration of Taxation, if the PRC tax authorities determine, in their discretion, that a company benefits from the reduced income tax rate due to a structure or arrangement that is primarily tax-driven, the PRC tax authorities may adjust the preferential tax treatment. If our Hong Kong subsidiaries are determined by PRC government authorities as receiving benefits from reduced income tax rates due to a structure or arrangement that is primarily tax-driven, the dividends paid by our PRC subsidiaries to our Hong Kong subsidiaries will be taxed at a higher rate, which will have a material adverse effect on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and direct investment in PRC entities by offshore holding companies and governmental control of currency conversion may delay or prevent us from using the proceeds of the initial public offering to make loans or additional capital contributions to our PRC subsidiaries and our consolidated affiliated entities in China,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conducting our operations in China through our PRC subsidiaries. We may make loans to our PRC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these ways are subject to PRC regulations and approvals or registration. For example, loans by us to our wholly owned PRC subsidiaries to finance their activities cannot exceed statutory limits and must be registered with the local counterpart of SAFE. If we decide to finance our wholly owned PRC subsidiary by means of capital contributions, these capital contributions are subject to registration with the State Administration for Market Regulation or its local branch, reporting of foreign investment information with the PRC Ministry of Commerce, or registration with other governmental authorities in China. Due to the restrictions imposed on loans in foreign currencies extended to PRC domestic companies, we are not likely to make such loans to our consolidated affiliated entities, which is a PRC domestic company. Further, we are not likely to finance the activities of our consolidated affiliated entities by means of capital contributions due to regulatory restrictions relating to foreign investment in PRC domestic enterprises engaged in certain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a follow-on offering, to our PRC subsidiaries, which may adversely affect our liquidity and our ability to fund and expand our business in China. On October 25, 2019, the SAFE promulgated the Notice for Further Advancing the Facilitation of Cross-border Trade and Investment, or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However, since the SAFE Circular 28 is newly promulgated, it is unclear how SAFE and competent banks will carry this out in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consolidated affiliated entities or future capital contributions by us to our PRC subsidiaries. As a result, uncertainties exist as to our ability to provide prompt financial support to our PRC subsidiaries or consolidated affiliated entities when needed, and our ability to use the proceeds we receive from the initial public offering and to capitalize or otherwise fund our PRC operations may be negatively affected,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income and expenses are denominated in Renminbi and our reporting currency is Renminbi. Significant revaluation of the Renminbi may have a material and adverse effect on your investment. For example, to the extent that we need to convert U.S. dollars we receive from our initial public offering into Renminbi for our operations, appreciation of the Renminbi against the U.S. dollar would reduce the Renminbi amount we would receive from the conversion. Conversely, if we decide to convert our Renminbi into U.S. dollars for the purpose of paying dividends or for other business purposes, appreciation of the U.S. dollar against the Renminbi would reduce the U.S. dollar amount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hedge our exposure adequately or at all. In addition, our currency exchange losses may be magnified by PRC exchange control regulations that restrict our ability to convert Renminbi into 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our ability to utilize our income effectively and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controls on the convertibility of the Renminbi into foreign currencies and, in certain cases, the remittance of currency out of China. We receive substantially all of our income in Renminbi. Under our current corporate structure, our Cayman Islands holding company may rely on dividend payments from our PRC subsidiaries to fund any cash and financing requirements payable outside of China.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cash generated from the operations of our PRC subsidiaries in China may be used to pay dividends to our company without prior approval of SAFE.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any consolidated affiliated entity to pay any debts they may incur in a currency other than Renminbi owed to entities outside China, or to make other capital expenditure payments outside China in a currency other than Renminbi.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of our shareholders who are subject to SAFE regulations fail to satisfy the applicable overseas direct investment filing or approval requirement, the PRC government may restrict our access to foreign currencies for current account transactions. If we are prevented from obtaining sufficient foreign currency to satisfy our foreign currency demands, we may not be able to pay dividends in foreign currencies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chops of our PRC subsidiaries are not kept safely, are stolen or are used by unauthorized persons or for unauthorized purposes, the corporate governance of these entities could be severely and adversely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our PRC subsidiaries in accordance with their respective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the impacted PRC subsidiary could experience disruption to its normal business operations. Our PRC subsidiaries may have to take corporate or legal action, which could involve significant time and resources to resolve while distracting management from their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exercised and continues to exercise substantial control over virtually every sector of the Chinese economy through regulation and state ownership. Our PRC subsidiaries’ ability to operate in China may be harmed by changes in its laws and regulations, including those relating to taxation, environmental regulations, land use rights, property and other matters. The central data security, anti-monopoly policies or local PRC governments may impose new, stricter regulations or interpretations of existing regulations that would require additional expenditures and efforts of our PRC subsidiaries to ensure their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the PRC or particular regions thereof, and could require us to divest ourselves of any interest we then hold in Chinese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issued the Opinions on Strictly Cracking Down on Illegal Securities Activities, or the Opinions, which emphasized the need to strengthen administration over illegal securities activities and supervision of overseas listings by China-based companies. The Opinions proposed promoting regulatory systems to deal with risks facing China-based overseas-listed companies, and provided that the State Council will revise provisions regarding the overseas issuance and listing of shares by companies limited by shares and will clarify the duties of domestic regulatory authorities. However, the Opinions did not provide detailed rules and regulations. As a result, uncertainties remain regarding the interpretation and implementation of the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(1) establishing the National Anti-Monopoly Bureau; (2) revising and promulgating anti-monopoly laws and regulations, including: the Anti-Monopoly Law (draft Amendment published on October 23, 2021 for public opinions; the newly revised Anti-Monopoly Law was promulgated on June 24, 2022, and became effective on August 1, 2022.), the anti-monopoly guidelines for various industries, and the detailed Rules for the Implementation of the Fair Competition Review System; and (3) expanding the anti-monopoly law enforcement targeting Internet companies and large enterprises. As of the date of this annual report, the Chinese government’s recent statements and regulatory actions related to anti-monopoly concerns have not impacted our ability to conduct business, accept foreign investments, or list on a U.S. or other foreign exchange because neither the Company nor its PRC operating entities engage in monopolistic behaviors that are subject to these statements or regulatory actions. On February 17, 2023, the CSRC released the Trial Administrative Measures of Overseas Securities Offering and Listing by Domestic Companies, or the Overseas Listing Trial Measures, and five supporting guidelines, which came into effect on March 31, 2023. The Overseas Listing Trial Measures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Overseas Listing Trial Measures (i.e. March 31, 2023) shall be deemed to be existing issuers (the “Existing Issuers”). Existing Issuers are not required to complete the filing procedures immediately; however, Existing Issuers will be required to file with the CSRC for any subsequent offerings. Our PRC counsel, Guantao Law Firm, advised us that, since we obtained approval from both the SEC and Nasdaq to issue and list our shares on the Nasdaq Capital Market prior to March 31, 2023, and closed our initial public offering on April 24, 2023, we were not required to complete the filing procedures with the CSRC for our initial public offering immediately pursuant to the Overseas Listing Trial Measures. In the event that filings with the CSRC are required with respect to subsequent offerings, we cannot assure you that we can complete the filing procedures, obtain the approvals, or complete other compliance procedures in a timely manner, or at all, or that any completed filings or approvals or other compliance procedures fulfilled would not be later rescinded. Any such failure could subject us to sanctions by the CSRC or other PRC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and other relevant government authorities promulgated the Provisions on Strengthening the Confidentiality and Archives Administration of Overseas Securities Issuance and Listing by Domestic Enterprises, which requires a domestic enterprise that intends to provide or publicly disclose through its overseas listing entities, any document or material involving any state secret or any work secret of any government organ, shall report the same to the competent department with examination and approval authority for approval in accordance with the law, and file the same with the administrative department of secrecy at the same level for the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we may be subject to various government and regulatory interference in the provinces in which we operate. We could be subject to regulation by various political and regulatory entities, including various local and municipal agencies and government sub-divisions. We may incur increased costs necessary to comply with existing and newly adopted laws and regulations or penalties for any failure to comply. It is uncertain when and whether we will be required to obtain permission from the PRC government to list on U.S. exchanges in the future, and even when such permission is obtained, whether it will be denied or rescinded. Although we are currently not required to obtain permission from any of the PRC federal or local government to obtain such permission and has not received any denial to list on the U.S. exchange, our operations could be adversely affected, directly or indirectly, by existing or future laws and regulations relating to its business 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the former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2020, the HFCAA was signed by President Donald Trump and became law. This legislation requires certain issuers of securities to establish that they are not owned or controlled by a foreign government. Specifically, an issuer must make this certification if the PCAOB is unable to audit specified reports because the issuer has retained a foreign public accounting firm not subject to inspection by the PCAOB. Furthermore, if the PCAOB is unable to inspect the issuer’s public accounting firm for three consecutive years beginning in 2021, the issuer’s securities are banned from trade on a national exchange or through other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2021, the SEC approved the PCAOB’s Rule 6100, Board Determinations Under the HFCAA. Rule 6100 provides a framework for the PCAOB to use to determine whether it is unable to inspect or investigate registered public accounting firms located in a foreign jurisdiction because of a position taken by one or more authorities in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HFCAA. The rules apply to registrants the SEC identifies as having filed an annual report with an audit report issued by a registered public accounting firm that is located in a foreign jurisdiction and that the PCAOB is unable to inspect or investigate.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the Board is unable to inspect or investigate completely PCAOB-registered public accounting firms headquartered in mainland China and in Hong Kong, a Special Administrative Region of the People’s Republic of China (PRC), because of positions taken by PRC authorities in those jurisdictions (the “Determination”). The Board made these determinations pursuant to PCAOB Rule 6100, which provides a framework for how the PCAOB fulfills its responsibilities under the HFCAA.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CSRC, MOF, and the PCAOB signed the Protocol, governing inspections and investigations of audit firms based in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determined that it was able to secure complete access to inspect and investigate registered public accounting firms headquartered in mainland China and Hong Kong and vacated its previous determinations to the contrary. However, should PRC authorities obstruct or otherwise fail to facilitate the PCAOB’s access in the future, the PCAOB may consider the need to issue a new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2022, the Accelerating Holding Foreign Companies Accountable Act was signed into law as part of the Consolidated Appropriations Act, which amended the HFCAA by reducing the number of consecutive non-inspection years required for triggering the prohibitions under the HFCAA from three years to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lack of access to the PCAOB inspection in China may prevent the PCAOB from fully evaluating audits and quality control procedures of the auditors based in China. As a result, the investors may be deprived of the benefits of such PCAOB inspections. The inability of the PCAOB to conduct inspections of auditors in China makes it more difficult to evaluate the effectiveness of these accounting firms’ audit procedures or quality control procedures as compared to auditors outside of China that are subject to the PCAOB inspections, which could cause existing and potential investors to lose confidence in audit procedures and reported financial information and the quality of financial statements of China-based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former auditor, Onestop, was replaced by HHL on July 31, 2025. HHL, a PCAOB-registered public accounting firm headquartered in New York, was subsequently dismissed and replaced by HCL as our independent registered public accounting firm, effective January 13, 2026. Our current auditor, HCL, and our former auditors, HHL and Onestop, are subject to oversight by the PCAOB, which conducts regular inspections to assess compliance with applicable professional standards. Our current auditor, HCL, is headquartered at 1415 W 37th Street, Suite 200, Chicago, IL 60609, and expects to be inspected by the PCAOB on a regular basis, as required by U.S. law. As of the date of this annual report, we have not been affected by the HFCAA and related regulations.. However,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related to the audit of our financial statements. Furthermore, there is a risk that our auditor cannot be inspected by the PCAOB in the future. The lack of inspection could cause trading in our securities to be prohibited on a national exchange or in the over-the-counter trading market under the HFCAA, and, as a result, Nasdaq may determine to delist our securities, which may cause the value of our securities to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or the escalation of tensions in international relations, particularly with regard to China, may adversely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heightened tensions in international relations, particularly between the United States and China, in recent years. The U.S. government has made statements and taken certain actions that may lead to potential changes to U.S. and international trade policies towards China. It remains unclear if unfavorable government policies on international trade, such as capital controls or tariffs, or the U.S. dollar payment and settlement system may affect the demand for the operating entity’s products, impact the competitive position of the products, prevent the operating entity from selling products in certain countries, or even our participation in the U.S. dollar payment and settlement system, which would materially and adversely affect the international operations, results of operations and financial condition. If any new tariffs, legislation and/or regulations are implemented, or if existing trade agreements are renegotiated or, in particular, if the U.S. government takes retaliatory trade actions due to the recent U.S.-China trade tensions, such changes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trade related tensions between China and the United States, the U.S. government escalated tensions between the U.S. and China in recent years by revoking Hong Kong’s special trading status. Also, the Congress of the United States enacted the Uyghur Forced Labor Prevention Act (UFLPA) in December 2021. Effective from June 21, 2022, the UFLPA creates a rebuttable presumption that goods mined, produced, or manufactured (wholly or in part) in China’s Xinjiang Uyghur Autonomous Region are made with forced labor, where goods designated as such will be subject to an import ban into the United States. The President of the United States may also impose sanctions on companies that knowingly engage in, are responsible for, or facilitate forced labor in Xinjiang. As of the date of this annual report, we do not have any operations in Xinjiang Uyghur Autonomous Region, and our business is not impacted by the UFLPA.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recently, the war in Ukraine and sanctions on Russia have increased the uncertainties in the relations between China and the United States, and tensions between these two countries could be heightened as a result. These tensions have affected both diplomatic and economic ties between the two countries. Heightened tensions could reduce levels of trade, investments, technological exchanges, and other economic activities between the two major economies. The impacts of the war in Ukraine and sanctions on Russia to our business are very limited because the operating subsidiaries do not source their raw materials from the European Union, Russia, or Ukraine and can seek alternative suppliers to their current suppliers in China without undue cost or effort. The prices of main raw materials used in the products were stable in fiscal years 2024 and 2025. However, the existing tensions and any further deterioration in international relations may have a negative impact on the general, economic, political, and social conditions in China and, given our reliance on the Chinese market,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disputes or the imposition of tariffs on imports and exports could affect international trade, and therefore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2018, China and the United States each began implementing increasingly protective trade measures, including significant tariff increases, in a trade war between these countries. Beginning in February 2025, President Trump has announced new tariffs on imports, including 10% tariffs on virtually all imports to the United States, and higher tariffs on imports of certain products or from certain countries (including Canada, Mexico and China). In response, foreign governments, including China, have enacted retaliatory tariffs. It is unknown whether and to what extent new tariffs will be adopted, or the effect that any such actions would have on us, our business partners or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barriers to protect domestic industries against foreign imports depress trading demand. Protectionist developments, such as the imposition of trade tariffs or the perception they may occur, may have a material adverse effect on global economic conditions, and may significantly reduce global trade. Moreover, increasing trade protectionism may cause an increase in (a) the cost of goods exported from regions globally, (b) the length of time required to transport goods, and (c) the risks associated with exporting goods. Such increases may significantly affect the quantity of goods to be traded, shipping time schedules, voyage costs and other associated costs, which could have an adverse impact on the Chinese economy and our business, operating results and financial condition. Further, protectionist policies in any country could impact global markets, including foreign exchange and securities markets. Any resulting changes in currency exchange rates, tariffs, treaties and other regulatory matters could in turn adversely impact our business, results of operations,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incurred substantial losses in the past and may incur losses in the future. There is substantial doubt about our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3” to the consolidated financial statements to this annual report, we have suffered significant losses from operations, resulting in a material decrease in working capital that raises substantial doubt about our ability to continue as a going concern. For the year ended December 31, 2025, we reported a net loss of RMB80.5 million, negative operating cash flows of RMB69.9 million and an accumulated deficit of RMB289.8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HCL, has indicated in its report on our financial statements for the fiscal year ended December 31, 2025 that there is substantial doubt as to our ability to continue as a going concern for the next 12 months from the date of issuance of the consolidated financial statements. Such a substantial doubt could impair our ability to finance our operations through the sale of equity, incurring debt, or other financing alternatives. In assessing its liquidity, management monitors and analyzes the Company’s cash on-hand, its ability to generate sufficient revenue sources and ability to obtain additional financial support in the future, and its operating and capital expenditure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to alleviate the substantial doubt about our ability to continue as a going concern includes the following measures:</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05"/>
        <w:gridCol w:w="350"/>
        <w:gridCol w:w="8180"/>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Obtaining financial support and credit guarantees from major shareholders;</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Taking various cost control measures to tighten the costs of operations;</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Speeding up the production cycle and shortening the delivery term to improve receivable turnover;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Implementing various strategies to enhance sales and profitability; and</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additional financing, if required, would be available on favorable terms or at all or that the foregoing plans and measures will be sufficient to fund our ongoing capital expenditures, working capital, and other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operating history in an emerging and fast-growing market, and our historical financial and operating performance may not be indicative of our future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market in the PRC, especially the EV market, is relatively new and evolving rapidly. While the EV market has undergone significant growth in the past few years, notwithstanding the slight reduction in growth attributable to the impact from the COVID-19 pandemic and the reduction of government subsidies, there is no assurance that it can continue to grow as rapidly. We established AHYS in 2013, which entity, together with the other operating subsidiaries, has had limited operating history. We may not have sufficient experience to address the risks to which companies operating in new or rapidly evolving markets may be exposed. We have limited experience in the EV industry. The laws and regulations governing the EV industry in the PRC are still at a nascent stage and subject to further changes and interpretations. As the market, the regulatory environment or other conditions evolve, our existing products and service offerings may not continue to deliver the expected business results. As our business develops, we may continue to introduce new products and services, make adjustments to existing products and services, to our business model or to our operations in general. Our abilities to retain and attract new sourcing partners, cooperating automobile manufacturers, and other third parties are also critical to our business. Any significant change to our business model or failure to achieve the intended business results may have a material and adverse impact on our financial condition and results of operations. Therefore, it may be difficult to effectively assess our 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our business and prospects in light of the risks and challenges that we encounter or may encounter, given the rapidly-evolving market in which they operate and their limited operating history. These risks and challenges include our ability to,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and enhance relationships with sourcing partners, cooperating automobile manufacturers, and other third parties;</w:t>
            </w:r>
          </w:p>
        </w:tc>
      </w:tr>
    </w:tbl>
    <w:p>
      <w:pPr>
        <w:pStyle w:val="TextBody"/>
        <w:bidi w:val="0"/>
        <w:spacing w:before="0" w:after="0"/>
        <w:ind w:left="960" w:right="0" w:hanging="48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68"/>
        <w:gridCol w:w="200"/>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complex and evolving laws and regulations;</w:t>
            </w:r>
          </w:p>
        </w:tc>
      </w:tr>
    </w:tbl>
    <w:p>
      <w:pPr>
        <w:pStyle w:val="TextBody"/>
        <w:bidi w:val="0"/>
        <w:spacing w:before="0" w:after="0"/>
        <w:ind w:left="960" w:right="0" w:hanging="48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68"/>
        <w:gridCol w:w="200"/>
        <w:gridCol w:w="2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 operational efficiency;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retain and motivate talented employees, particularly in the areas of research and development, sales and marketing, as well as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enhance technology infrastructure to support the growth of business and maintain the security of our data system and the confidentiality of the information provided and collected across such system;</w:t>
            </w:r>
          </w:p>
        </w:tc>
      </w:tr>
    </w:tbl>
    <w:p>
      <w:pPr>
        <w:pStyle w:val="TextBody"/>
        <w:bidi w:val="0"/>
        <w:spacing w:before="0" w:after="0"/>
        <w:ind w:left="960" w:right="0" w:hanging="48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68"/>
        <w:gridCol w:w="200"/>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navigate economic conditions and fluctuations;</w:t>
            </w:r>
          </w:p>
        </w:tc>
      </w:tr>
    </w:tbl>
    <w:p>
      <w:pPr>
        <w:pStyle w:val="TextBody"/>
        <w:bidi w:val="0"/>
        <w:spacing w:before="0" w:after="0"/>
        <w:ind w:left="960" w:right="0" w:hanging="48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68"/>
        <w:gridCol w:w="200"/>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 business strategies entering into the EV market; and</w:t>
            </w:r>
          </w:p>
        </w:tc>
      </w:tr>
    </w:tbl>
    <w:p>
      <w:pPr>
        <w:pStyle w:val="TextBody"/>
        <w:bidi w:val="0"/>
        <w:spacing w:before="0" w:after="0"/>
        <w:ind w:left="960" w:right="0" w:hanging="48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200"/>
        <w:gridCol w:w="9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defend against legal and regulatory actions, such as actions involving intellectual property or data privacy claims.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and may not be 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market in China is large yet competitive. We compete against other sourcing service providers, such as 4S dealerships, brand-owned stores/direct authorized dealerships, and automobile e-commerce platforms. Competitors may offer better prices and/or deliver better user experiences to prospective customers/users. We may also face future competition from new entrants that could intensify the market competition. We anticipate that more established companies, including technology companies that possess large, existing user bases, substantial financial resources and sophisticated technological capabilities may also enter the markets in which we compete. Competitors may have different business models, have different cost structures or participate selectively in different industry segments. They may ultimately prove to be more successful or more adaptable to customer demand and new regulatory, technological and other developments. Some of our current and potential competitors may have significantly more financial, technical, marketing and other resources than we do and may be able to devote greater resources to the development, promotion, sales and support of their products and service offerings. Our competitors may also have longer operating histories, greater brand recognition and brand loyalty and broader or closer relationships with dealers, automobile manufacturers or other third-party relationships than those of our PRC subsidiaries. Additionally, a current or potential competitor may acquire, or form a strategic alliance with, one or more of our PRC subsidiaries’ other competitors. Our competitors may be better at developing new products and solutions and services, responding more quickly to new technologies and undertaking more extensive and effective marketing campaigns. In response to competition, we may have to lower and/or adjust the various fees charged and paid to the other parties, such as commissions charged to purchasers for sourcing services, which could materially and adversely affect business, profit margins and results of operations. If we are unable to compete with such companies and meet the need for innovation in our industry, the demand for our services could stagnate or substantially decline, which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intend to enter into a market where we have limited or no prior experience. Such efforts may prove unsuccessful, and we may expend resources that yield no material gains, which could adversely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effectively manage our growth, control expenses or implement business strategies, any of which events may cause our PRC subsidiaries to be unable to provide services or deliver products with premium quality or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growth and expansion will depend on our ability to maintain and further develop our sourcing networks, maintain and grow our relationships with cooperating automobile manufacturers, and capture growth opportunities and implement marketing strategies and compete against existing and future competitors. There can be no assurance that we will achieve any of the above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our growth and expansion, and to maintain profitability, we anticipate that we will need to implement a variety of new and upgraded operational and financial systems, procedures and controls. We will also need to further expand, train, manage and motivate our workforce and manage their relationships with third parties. All of these endeavors involve risks and will require substantial management efforts and skills and significant additional expenditures. Our future growth may divert management, operational or technological resources from existing business operations. We cannot assure you that we will be able to grow and expand successfully or implement future business strategies effectively, and failure to do so may materially and adversely affect our business, financial condition, results of operations and 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harm to our brands or reputation or any damage to the reputation of the third parties with whom we collaborate or failure to enhance brand recognition could have a material adverse effect on our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recognition and reputation of our sourcing services and Upincar brands are critical to our business and competitiveness. Factors that are vital to this objective include, but are not limited to, our ability to:</w:t>
      </w:r>
    </w:p>
    <w:p>
      <w:pPr>
        <w:pStyle w:val="TextBody"/>
        <w:bidi w:val="0"/>
        <w:spacing w:before="0" w:after="0"/>
        <w:ind w:left="960" w:right="0" w:hanging="48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68"/>
        <w:gridCol w:w="200"/>
        <w:gridCol w:w="50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the quality and reliability of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200"/>
        <w:gridCol w:w="4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and develop relationships with sourcing partners;</w:t>
            </w:r>
          </w:p>
        </w:tc>
      </w:tr>
    </w:tbl>
    <w:p>
      <w:pPr>
        <w:pStyle w:val="TextBody"/>
        <w:bidi w:val="0"/>
        <w:spacing w:before="0" w:after="0"/>
        <w:ind w:left="960" w:right="0" w:hanging="48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68"/>
        <w:gridCol w:w="200"/>
        <w:gridCol w:w="55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and develop relationships with automobile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0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prospective car buyers and existing car buyers with superior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effectively manage and resolve any complaints of sourcing partners, cooperating automobile manufacturers, and other third-parties; and</w:t>
            </w:r>
          </w:p>
        </w:tc>
      </w:tr>
    </w:tbl>
    <w:p>
      <w:pPr>
        <w:pStyle w:val="TextBody"/>
        <w:bidi w:val="0"/>
        <w:spacing w:before="0" w:after="0"/>
        <w:ind w:left="960" w:right="0" w:hanging="48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68"/>
        <w:gridCol w:w="200"/>
        <w:gridCol w:w="9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effectively protect personal information and privacy of car buyers and any sensitive data received from third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malicious or inadvertent negative allegations made by the media or other parties about the foregoing or other aspects of our company, including but not limited to our PRC subsidiaries’ management, business, compliance with law, financial condition or prospects, whether with merit or not, could severely hurt our reputation and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the EV market in China is under rapid development and the regulatory framework for this market is also evolving, negative publicity about this industry may arise from time to time. Negative publicity about China’s EV industry, in general, may also have a negative impact on our PRC subsidiaries’ reputation, regardless of whether they have engaged in any inappropriate activities. Furthermore, any negative development in the EV industry, such as alleged design deficiencies, safety concerns or negative perception of the industry as a whole, even if factually incorrect or based on isolated incidents, could compromise our PRC subsidiaries’ image, undermine the trust and credibility they have established and have a negative impact on their ability to attract potential car buyers. Negative developments in the EV industry may also lead to tightened regulatory scrutiny of the sector and limit the scope of permissible business activities that may be conducted by companies such as our PRC subsidiaries. If any of the foregoing takes place, our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collaborate with various industry participants in providing products and services. Such participants include dealers, automobile manufacturers and other business partners. Negative publicity about such counterparties, such as their failure to comply with applicable laws and regulations or to otherwise meet required quality and service standards, could cause reputational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December 31, 2025, 2024 and 2023, we were not profitable, and we did not generate positive cash flows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net losses of RMB80.5 million, RMB56.4 million and RMB25.5 million for the fiscal years ended December 31, 2025, 2024 and 2023, respectively. In addition, we had negative cash flows from operating activities of RMB69.9 million, RMB73.2 million and RMB65.4 million for the fiscal years ended December 31, 2025, 2024 and 2023, respectively. We have made significant up-front investments in research and development, dealer networking and sales and marketing to rapidly develop and expand our business. We anticipate that we will continue to invest significantly in research and development, and sales and marketing, and potentially in production capacity expansion, to further develop and expand our business. The aforementioned investments may not result in an increase in revenue or positive cash flow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generate sufficient revenues or may incur substantial losses for a number of reasons, including a lack of demand for our PRC subsidiaries’ products and services, increasing competition, challenging macro-economic environment, residual negative impacts on our operations due to COVID-19,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 In addition, our continuous operation depends on our capability to improve operating cash flows, as well as our capacity to obtain sufficient external equity or debt financing. If we do not succeed in doing so, we may have to limit the scale of operations, which may limit our business growth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service marks, patents, domain names, trade secrets, proprietary technologies and similar intellectual property as critical to our success. We rely on trademark and patent law, trade secret protection and confidentiality and license agreements with employees and others to protect such proprietary rights. We have invested significant resources to develop such own intellectual property. Failure to maintain or protect these rights could harm our business. In addition, any unauthorized use of such intellectual property by third parties may adversely affect current and future revenues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and enforcement of PRC intellectual property-related laws have historically been deficient and ineffective. Accordingly, protection of intellectual property rights in China may not be as effective as in the United States or other countries with more developed intellectual property laws. Furthermore, policing unauthorized use of proprietary technology is difficult and expensive. Our PRC subsidiaries rely on a combination of patent, copyright, trademark and trade secret laws and restrictions on disclosure to protect their intellectual property rights. Despite efforts to protect such proprietary rights, third parties may attempt to copy or otherwise obtain and use our PRC subsidiaries’ intellectual property or seek court declarations that they do not infringe upon our PRC subsidiaries’ intellectual property rights. Monitoring unauthorized use of such intellectual property is difficult and costly, and we cannot assure you that the steps we have taken or will take will prevent misappropriation of such intellectual property. From time to time, our PRC subsidiaries may have to resort to litigation to enforce their intellectual property rights, which could result in substantial costs and diversion of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patent applications on UOTTA technology are currently pending, we cannot assure you that such patents will be approved, and we may not be able to prevent others from developing or exploiting competing technologies, which could have a material and adverse effect on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51 issued patents and 18 pending patent applications in China. For our pending applications, we cannot assure you that we will be granted patents pursuant to such pending applications. Even if our patent applications succeed and we are issued patents in accordance,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theirs. The intellectual property rights of others could also bar us from licensing and exploiting any patents that issue from our pending applications. Numerous patents and pending patent applications owned by others exist in the fields in which we have developed and are developing.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 Any of the foregoing could materially and adversely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against patent or trademark infringement claims, which may be time-consuming and would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PRC subsidiaries’ competitors, may hold or obtain patents, trademarks or other proprietary rights that would prevent, limit or interfere with our ability to make, use, develop, sell or market our products, which could make it more difficult for us to operate our business. From time to time, we may receive communications from holders of patents or trademarks regarding their proprietary rights. Companies holding patents or other intellectual property rights may bring suits alleging infringement of such rights or otherwise assert their rights and urge us to take licenses. Our applications and uses of trademarks relating to their design, software or artificial intelligence technologies could be found to infringe upon existing trademark ownership and rights. In addition, if we were to be found by a court to have infringed upon a third party’s intellectual property rights, we may be required to do one or more of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cease selling, incorporating certain components into, or using or offering goods or services that incorporate or use the challenged intellectual property;</w:t>
            </w:r>
          </w:p>
        </w:tc>
      </w:tr>
    </w:tbl>
    <w:p>
      <w:pPr>
        <w:pStyle w:val="TextBody"/>
        <w:bidi w:val="0"/>
        <w:spacing w:before="0" w:after="0"/>
        <w:ind w:left="960" w:right="0" w:hanging="480"/>
        <w:jc w:val="both"/>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68"/>
        <w:gridCol w:w="200"/>
        <w:gridCol w:w="2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substantial damages;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a license from the holder of the infringed intellectual property right, which license may not be available on reasonable terms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68"/>
        <w:gridCol w:w="200"/>
        <w:gridCol w:w="2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 our goods or services; or</w:t>
            </w:r>
          </w:p>
        </w:tc>
      </w:tr>
    </w:tbl>
    <w:p>
      <w:pPr>
        <w:pStyle w:val="TextBody"/>
        <w:bidi w:val="0"/>
        <w:spacing w:before="0" w:after="0"/>
        <w:ind w:left="960" w:right="0" w:hanging="48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68"/>
        <w:gridCol w:w="200"/>
        <w:gridCol w:w="60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and maintain alternative branding for our products and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significant disruption in our IT systems, including events beyond our control, or disruptions in our business partners’ IT systems, could have a material and adverse effect on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system outage, malfunction or data loss, our ability to provide services would be materially and adversely affected. The satisfactory performance, reliability and availability of their technology and their underlying network infrastructure are critical to their operations, user service, reputation and their ability to attract new and retain existing car buyers. Our IT systems infrastructure is currently deployed and their data is currently maintained through a customized cloud computing system. Our servers are housed at third-party data centers, and their operations depend on the service providers’ ability to protect their systems in their facilities as well as their own systems against damage or interruption from natural disasters, power or telecommunications failures, air quality issues, environmental conditions, computer viruses or attempts to harm their systems, criminal acts and similar events, many of which may be beyond their control. Moreover, if our arrangements with these service providers are terminated or if there is a lapse of service or damage to their facilities or if the services are no longer cost-effective to us, we could experience material interruptions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interruptions or delays in our business operations, whether as a result of third-party error, our error, natural disasters or security breaches, whether accidental or willful, could harm our relationships with dealers, automobile manufacturers, and other third parties and their reputation. We may not have sufficient capacity to recover all data lost in the event of an outage, which in turn may adversely affect our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Misconduct and errors by our employees and the employees of third parties we collaborate with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many types of operational risks, including the risk of misconduct and errors by our employees and the employees of third-party business partners that we collaborate with. Our business depends on our employees and third parties, such as dealers, other sourcing partners, and cooperating automobile manufacturers, to promote, manufacture, sell or deliver products. We could be materially and adversely affected if transactions are improperly executed, if confidential information was disclosed to unintended recipients or if an operational breakdown or failure in the processing of transactions occurred, whether as a result of human error, purposeful sabotage or fraudulent manipulation of operations or systems. It is not always possible to identify and deter misconduct or errors by employees or third-party business partners, and the precautions we take to detect and prevent this activity may not be effective in controlling unknown or unmanaged risks or losses. If any of their employees or employees of third-party business partners take, convert or misuse funds, documents or data or fail to follow rules and procedures when interacting with current or prospective customers, we could be liable for damages and subject to regulatory actions and penalties. We could also be perceived to have facilitated or participated in the illegal misappropriation of funds, documents or data, or the failure to follow rules and procedures, and therefore be subject to civil or criminal liability. Any of these occurrences could result in the diminished ability to operate our business, potential liability to end users, inability to attract car buyers, reputational damage, regulatory intervention and financial harm, which could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to pursue business objectives and respond to business opportunities, challenges or unforeseen circumstances, and financing may not be available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intend to continue to make investments to support the growth of our business, we may require additional capital to pursue our business objectives and respond to business opportunities, challenges or unforeseen circumstances, including developing new products and service offerings, increasing sales and marketing expenditures to improve brand awareness and engage car buyers through expanded channels, enhancing our PRC subsidiaries’ operating infrastructure and acquiring complementary businesses and technologies. Accordingly, we may need to engage in additional equity or debt financing to secure additional funds. However, additional funds may not be available when needed, on terms that are acceptable, or at all. Repayment of any such debt may divert a substantial portion of cash flow to repay principal and interest on such debt, which would reduce the funds available for expenses, capital expenditures, acquisitions and other general corporate purposes; and we may suffer as a result of any default and foreclosure on assets pledged to secure any such financing, if our operating cash flow is insufficient to service debt obligations, which could in turn result in acceleration of obligations to repay the indebtedness and limit sources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credit markets may also have an adverse effect on our ability to obtain debt financing. If we raise additional funds through further issuance of equity or convertible debt securities, our existing shareholders could suffer significant dilution, and any new equity securities we issue could have rights, preferences and privileges superior to those of holders of our Class A Ordinary Shares. If we are unable to obtain adequate financing or financing on terms satisfactory to us when required, our ability to continue to pursue our business objectives and to respond to business opportunities, challenges or unforeseen circumstances could be significantly limited, and our business, financial condition, results of operations and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and the rules and regulations of the Nasdaq Stock Market. Pursuant to Section 404 of the Sarbanes-Oxley Act, we are required to file a report by our management on our internal control over financial reporting, and while we remain an “emerging growth company”, as such term is defined under the JOBS Act, we will not be required to include an attestation report on internal control over financial reporting issued by our independent registered public accounting firm. In the course of preparing our financial statements for the year ended December 31, 2025, we identified one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identified relates to our lack of sufficient skilled staff with U.S. GAAP knowledge and the SEC reporting knowledge for the purpose of financial reporting as well as the lack in formal accounting policies and procedures manual to ensure proper financial reporting in accordance with U.S. GAAP and SEC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already taken the following steps to implement measures to remediate the material weakness we have identified: (1) streamlining our accounting department structure and enhancing our staff’s U.S. GAAP expertise on a continuous basis; and (2) making an overall assessment on the current finance and accounting resources and planning to hire new finance team members with pertinent qualifications, in order to strengthen our U.S. GAAP reporting framework. We plan to take additional measures to improve the effectiveness of our internal control and financial reporting, including: (1) hiring a new reporting manager who has expertise in U.S. GAAP to improve the quality of U.S. GAAP reports; (2) participating in training and seminars provided by professional service firms on a regular basis to gain knowledge on regular accounting/SEC reporting updates; and (3) providing internal training to our current accounting team on U.S. GAAP practices. We are also in the process of completing a systematic accounting manual for U.S. GAAP and financial closing process. However, we cannot assure you that we will not identify additional material weaknesses or significant deficiencies in the future. In addition, if we are unable to meet the requirements of Section 404 of the Sarbanes-Oxley Act, our Class A Ordinary Shares may not be able to remain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cease to be an “emerging growth company”, as such term is defined under the JOBS Act, our independent registered public accounting firm must attest to and report on the effectiveness of our internal control over financial reporting.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will be harmed if overall consumer demand suffers from a severe or sustained economic downturn or if there is an oversupply in the automobile industry, the EV industry or the battery-swapping station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heavily dependent on consumer demand and preferences in China. Our revenues generated through our PRC subsidiaries will be materially and adversely affected if there is a severe or sustained downturn in overall levels of consumer spending in China. Retail vehicle sales are cyclical and historically have experienced periodic downturns characterized by oversupply and weak demand. These cycles are often dependent on general economic conditions, consumer confidence and governmental incentive programs, as well as the level of discretionary personal income and credit availability. In addition, consumers’ demand for automobiles is also subject to other factors that are outside of our control. For example, severe or sustained increases in gasoline prices may lead to a reduction in automobile purchases or a shift in buying patterns from luxury/sports utility vehicle models, which typically provide high profit margins to retailers, to smaller, more economical vehicles, which typically have lower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overall capacity of the automobile industry outgrows the demand of consumers, the oversupply of automobiles may occur, and we may face increased competition and experience increased pricing pressure. As a result, our business and profitability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if people or properties are harmed by defects in UOTTA-powered vehicles and battery-swapping stations, which may result in delays in new model launches, recall campaigns or increased warranty costs and may adversely affect our brands and result in a decrease in the residual value of such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product liability claims if people or properties are harmed by defects in UOTTA-powered EVs and battery-swapping stations. Although we may have legal recourse against the cooperating automobile manufacturers, station manufacturers and suppliers under PRC law in such circumstances, attempting to enforce our rights against these parties may be expensive, time-consuming and ultimately futile. In addition, our PRC subsidiaries do not currently maintain any third-party liability insurance or product liability insurance. As a result, any material product liability claim or litigation could have a material and adverse effect on our business, financial condition and results of operations. Even unsuccessful claims could result in the expenditure of funds and managerial efforts in defending them and could have a negative impact on our reputation. As of the date of this annual report, we have not received any product liability claims relating to personal injury or property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UOTTA-powered EVs and battery-swapping stations may contain design and manufacturing defects. The design of such vehicles and battery-swapping stations are complex and could contain latent defects and errors, which may cause vehicles not to perform or operate as expected or even result in property damage, personal injuries or death. While we and our cooperating manufacturers plan to perform extensive internal testing on UOTTA-powered EVs and battery-swapping stations, and the related software and hardware systems, we have a limited frame of reference by which to assess the long-term performance of UOTTA-powered EVs and battery-swapping stations. Any of the above may result in delays in new model launches, recall campaigns or increased warranty costs and may adversely affect our brand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increased environmental and safety or other regulation resulting in higher costs, cash expenditures, and/or sales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manufacturing company manufactures battery-swapping stations, we are subject to complex environmental, manufacturing, health and safety laws and regulations at numerous jurisdictional levels in China, including laws and regulations relating to the use, handling, storage, recycling, disposal and human exposure to hazardous materials and relating to the construction, expansion and maintenance of their facilities. The costs of compliance, including remediating contamination if any is found on our facilities, and any changes to their operations mandated by new or amended laws, may be significant. We may be required to incur additional costs to comply with any changes to such regulations, and any failures to comply could result in significant expenses, delays, fines or shutdowns. We will be subject to laws, regulations and standards applicable to the supply, manufacture, import, sale and service of automobiles in different jurisdictions and relating to vehicle safety, fuel economy and emissions, among other things, in different jurisdictions which often may be materially different from each other. As a result, our PRC subsidiaries and/or their manufacturing partners may need to make additional investments to ensure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seasonality of the automobile industry impacts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automobile industry in China is subject to seasonal variations in revenues. Demand for automobiles is generally higher before or during certain major Chinese holidays, such as the Lunar New Year in February, the Labor Day holidays in May and the National Day holidays in October. Accordingly, we expect our revenues and operating results generally to be higher in these periods than in other months of the year. Therefore, if circumstances arise during these months that impede automobile sales, such as high fuel costs, automobile supply shortage, unfavorable governmental policy changes, depressed economic conditions or similar adverse conditions, our revenues for the year would be disproportionately adversely affected. In addition, comparisons of sales and operating results between different periods within a single fiscal year, or between the same periods in different fiscal years, may not be meaningful and should not be relied upon as indicators of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the continued efforts of senior management and key R&amp;D personnel. If one or more members of our senior management or R&amp;D teams were unable or unwilling to continue in their present positions, our business may be severely disrupted.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depend on the continued services of senior management, particularly the executive officers named in this annual report and our key R&amp;D personnel. In particular, Mr. Jia Li, our PRC subsidiaries’ founder and chairman, and Mr. Zhanduo Hao, the head of our battery-swapping technology team, are critical to the management of our business and operations and the development of our strategic direction. While we have provided various incentives to sustain their continued management, and although Mr. Jia Li is also our Chief Executive Officer, there can be no assurance that we can continue to retain their services. If one or more members of senior management were unable or unwilling to continue in their present positions, we may not be able to replace them easily or at all, and we may incur additional expenses to recruit, train and retain qualified personnel. Any new executive we recruit may fail to develop or implement effective business strategies, in which case, our future growth may be constrained, our business may be severely disrupted and our financial condition and results of operations may, in turn,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competition for well-qualified and skilled employees is intense. Our future success also depends on the continuing ability to attract, develop, motivate and retain highly qualified and skilled R&amp;D personnel. In addition, although we have entered into confidentiality and non-competition agreements with our management and key R&amp;D personnel, there is no assurance that any member of our management teams will not join competitors or form a competing business. If any dispute arises with our current or former officers, management or personnel, we may have to incur substantial costs and expenses in order to enforce such agreements in China or may be unable to enforce them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Intense competition for employees and increases in labor costs in the PRC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success depends on the efforts and talent of our employees, including sales and marketing, operations, risk management, research and development and finance personnel. Our future success depends on our continued ability to attract, develop, motivate and retain qualified and skilled employees. Competition for highly skilled sales and marketing, operations, risk management, research and development and finance personnel are extremely intense. We may not be able to hire and retain these personnel at compensation levels consistent with their existing compensation and salary structure. Some of the companies with which we compete for experienced employees have greater resources and may be able to offer more attractive terms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invest significant time and expenses in our employees, which increases their value to competitors who may seek to recruit them. If we fail to retain our employees, we could incur significant expenses in hiring and training their replacements, and the quality of their services and ability to serve dealers and other sourcing partners, car buyers and other industry participants could diminish, resulting in a material adverse effect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economy in China has experienced increases in inflation and labor costs in recent years. As a result, average wages in the PRC are expected to continue to increase. In addition, our PRC subsidiaries are required by PRC laws and regulations to pay various statutory employee benefits, including pension insurance, housing funds, medical insurance, work-related injury insurance, unemployment insurance and maternity insurance to designated government agencies for the benefit of their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experienced significant inflationary pressures on labor costs negatively affecting our ongoing business. However, we expect that our labor costs, including wages and employee benefits, to continue to increase. To mitigate inflationary pressures, we plan to:</w:t>
      </w:r>
    </w:p>
    <w:p>
      <w:pPr>
        <w:pStyle w:val="TextBody"/>
        <w:bidi w:val="0"/>
        <w:spacing w:before="0" w:after="0"/>
        <w:ind w:left="960" w:right="0" w:hanging="48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68"/>
        <w:gridCol w:w="200"/>
        <w:gridCol w:w="5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 our labor costs carefully in our day-to-day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68"/>
        <w:gridCol w:w="200"/>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outsource or contract certain nonessential employees, to reduce labor-related administrative costs; and</w:t>
            </w:r>
          </w:p>
        </w:tc>
      </w:tr>
    </w:tbl>
    <w:p>
      <w:pPr>
        <w:pStyle w:val="TextBody"/>
        <w:bidi w:val="0"/>
        <w:spacing w:before="0" w:after="0"/>
        <w:ind w:left="960" w:right="0" w:hanging="48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68"/>
        <w:gridCol w:w="200"/>
        <w:gridCol w:w="5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install a performance-based pay schedule for our sales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there is no assurance that significant inflationary pressures on labor costs would not negatively affect our ongoing business. As a result, our business, financial condition and results of operations may be adversely affected by inflationary pressures on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sufficient insurance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 in China currently do not offer as extensive an array of insurance products as insurance companies in more developed economies. Currently, we do not have enough business liability or disruption insurance to cover their operations. We have determined that the costs of insuring for these risks and the difficulties associated with acquiring such insurance on commercially reasonable terms make it impractical for them to have such insurance. Any uninsured business disruptions may result in the incurrence of substantial costs and the diversion of resources, which could have an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potential liability in connection with pending or threatened legal proceedings and other matters, which could adversely affect our business or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in the future become, a party to various legal or administrative proceedings arising in the ordinary course of business, including breach of contract claims, anti-competition claims and other matters. Such proceedings are inherently uncertain, and their results cannot be predicted with certainty. Regardless of the outcome and merit of such proceedings, any such legal action could have an adverse impact on our business because of defense costs, negative publicity, diversion of management’s attention and other factors. In addition, it is possible that an unfavorable resolution, including any judgment or settlement subjecting us to liability, of one or more legal or administrative proceedings, whether in the PRC or in another jurisdiction, which could materially and adversely affect our business, financial position, results of operations or cash flows in a particular period or reputational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activities, including the U.S. Foreign Corrupt Practices Act, or the FCPA, the Chinese Criminal Law and Anti-Unfair Competition Law, and other anti-corruption laws and regulations. The FCPA and the Chinese Criminal Law and Anti-Unfair Competition Law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Chinese Criminal Law and Anti-Unfair Competition Law also prohibit non-governmental “commercial” bribery and soliciting or accepting bribes. A violation of these laws or regulations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our PRC subsidiaries,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PRC subsidiaries, our directors, officers, employees, representatives, consultants, agents, and business partners could engage in improper conduct for which we may be held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any of which could materially and adversely affect our business, results of operations, financial condition and reputation. In addition, changes in economic sanctions laws in the future could adversely impact our business and investments in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the effects of epidemics. In recent years, there have been outbreaks of epidemics in China and globally. Our business operations could be disrupted if any of their employees are exposed to epidemics, since it could require such employees to be quarantined and/or their offices to be disinfected. In addition, our results of operations could be adversely affected to the extent that the outbreak harms the Chinese economy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vulnerable to natural disasters and other calamities. Although we have servers that are hosted in an offsite location, their backup system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financial condition and results of operations may be adversely affected by COVID-19.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2022, due to the impact of the COVID-19 pandemic, we had postponed some of our projects, experienced instability in the supply chain, as well as cancellations of sales orders, all of which had negatively impacted our results of operations in fiscal year 2022. On December 7, 2022, the joint prevention and control mechanism of the State Council of China issued the Notice on Further Optimizing the Implementation of Covid Prevention and Control Measures, stipulating that the control measures for epidemic prevention were gradually reduced. For the fiscal years ended December 31, 2023, 2024 and 2025, as the Chinese economy experienced slow and gradual recovery from the COVID-19 pandemic, our business was not materially impacted by COVID-19.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occurrence of such outbreaks in the future may disrupt our operations, and the operations of our customers and suppliers if the development of such an outbreak becomes more severe resulting in a tightening of restrictions and regulations on businesses. If we or our customers and suppliers are forced to close their businesses with prolonged disruptions to their operations, we may experience a delay or shortage of supplies and/or services by our suppliers, or termination of our orders and contracts by our customers, thereby causing our business and financial performance to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Our Vehicle Sourcing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vehicle sourcing network is crucial to the success of our vehicle sourcing business; if we fail to further develop or maintain our business relationships with sourcing partners at a sustainable cost, or at all, our vehicle sourcing business, financial condition and prospects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vehicle sourcing network and we believe such network allows us to access the commercial-use EV market primarily in the lower-tier cities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closely collaborate with vehicle sourcing partners in the sourcing business. As China is a large and diverse market, business practices may vary significantly by region. Experience in the markets in which our PRC subsidiaries currently operate may not be applicable in other parts of China. If we determine to expand into new geographical markets in China, such efforts may impose considerable burdens on sales, marketing and general managerial resources. If we are unable to manage such expansion efforts effectively, if expansion efforts take longer than planned, or if the costs for these efforts exceed expectations, our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our sourcing partners are not exclusive, and there can be no assurance that we will be able to maintain our relationships with our sourcing partners. A decrease in partner participation, or deterioration in relationships with any such partners, could adversely affect our vehicle sourcing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commissions from our sourcing services may decline in the future, and any material decrease in such commissions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we charge SME dealers and individual vehicle buyers could be affected by a variety of factors, including the competitive landscape of the automotive sourcing industry, regulatory requirements, and our strategic plan to expand into the EV battery-swapping market. In fiscal year 2023, 2024 and 2025, the revenue from the sourcing business constituted 7.7%, 0.1% and 2.7%, respectively, of our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offer more attractive prices and services, which may require us to reduce commissions in order to compete effectively. In addition, commissions may be sensitive to many macroeconomic factors beyond our control, such as inflation, recession, the state of the automotive market, changes in market interest rates, global economic disruptions, unemployment and fiscal and monetary policies. Further, as we expand into the EV battery-swapping market, we may have limited resources available for us to use in our vehicle sourcing business. In the event that the income from the sourcing service commissions decrease significantly in the future and our PRC subsidiaries are not able to adopt any initiatives to reverse such trend, our business, financial condition and results of operations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in the sourcing market and may not be 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sourcing industry in China is competitive. Our competitors may offer better pricing and user experiences to prospective car buyers. We may also in the future face competition from new entrants that will increase the level of competition. More established companies, including technology companies that possess large, existing user bases, substantial financial resources and sophisticated technological capabilities may also enter the market in the future. Competitors may operate different business models, have different cost structures or participate selectively in different industry segments. They may ultimately prove to be more successful or more adaptable to customer demands and new regulatory, technological and other developments. Some of our current and potential competitors may have significantly more financial, technical, marketing and other resources than we do and may be able to devote greater resources to the development, promotion, sales and support of their platforms, products and service offerings. Competitors may also have longer operating histories, greater brand recognition and brand loyalty and broader or closer relationships with dealers, manufacturers and their authorized wholesalers, or other automotive transaction industry participants. Additionally, a current or potential competitor may acquire, or form a strategic alliance with, one or more of our other competitors. Competitors may be better at developing new products and solutions and services, offering more attractive fees, responding more quickly to new technologies and undertaking more extensive and effective marketing campaigns. In response to competition and in order to grow or maintain the cash-flow generated by the sourcing service, we may have to lower and/or adjust our fees, which could materially and adversely affect our business, profit margins and results of operations. If we are unable to compete effectively, the demand for our services could stagnate or substantially decline, which could, in turn,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relating to the growth of the Chinese automotive markets in general could adversely affect our sourcing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sourcing services depends upon numerous factors affecting the development of the automotive industry in China, which may be beyond our control. These factors include, but are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growth in car ownership and the rate of any such growth;</w:t>
            </w:r>
          </w:p>
        </w:tc>
      </w:tr>
    </w:tbl>
    <w:p>
      <w:pPr>
        <w:pStyle w:val="TextBody"/>
        <w:bidi w:val="0"/>
        <w:spacing w:before="0" w:after="0"/>
        <w:ind w:left="960" w:right="0" w:hanging="48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68"/>
        <w:gridCol w:w="200"/>
        <w:gridCol w:w="4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car buyer demographics, tastes and preferences;</w:t>
            </w:r>
          </w:p>
        </w:tc>
      </w:tr>
    </w:tbl>
    <w:p>
      <w:pPr>
        <w:pStyle w:val="TextBody"/>
        <w:bidi w:val="0"/>
        <w:spacing w:before="0" w:after="0"/>
        <w:ind w:left="960" w:right="0" w:hanging="48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68"/>
        <w:gridCol w:w="200"/>
        <w:gridCol w:w="35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changing financing behavior of car buyers;</w:t>
            </w:r>
          </w:p>
        </w:tc>
      </w:tr>
    </w:tbl>
    <w:p>
      <w:pPr>
        <w:pStyle w:val="TextBody"/>
        <w:bidi w:val="0"/>
        <w:spacing w:before="0" w:after="0"/>
        <w:ind w:left="960" w:right="0" w:hanging="48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68"/>
        <w:gridCol w:w="200"/>
        <w:gridCol w:w="9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selection, price and popularity of cars offered by manufacturers and wholesalers within our sourcing network;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 policies on car purchases and ownership, such as the government policy relating to subsidiaries for new energy vehicles.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sensitive to changes in the prices of new and used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retail prices for new or used vehicles could have a material adverse effect on our sourcing business, financial condition and results of operations. For example, if retail prices for used vehicles drop significantly relative to retail prices for new vehicles, it could make buying a used vehicle more attractive to our customers than buying a new vehicle, reducing demand for our services, which could have a material adverse effect on our business, financial condition and results of operations. Additionally, manufacturer incentives could contribute to increasing the price gap between new and used vehicles. Lower used vehicle prices could reduce the orders of vehicles with our PRC subsidiaries for sale, reducing their, and consequently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carriers to transport vehicles to our customers, and they are subject to associated business risks and costs and with those of the transportation industry, generally, many of which risks and costs would be out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carriers to transport vehicles to their facilities, as well as from their temporary inventory to purchasers that elect to have the vehicle delivered to them. As a result, we are exposed to risks associated with the transportation industry, such as weather, traffic patterns, local and federal regulations, vehicular crashes, gasoline prices and lack of reliability of many independent carriers. Third-party carriers who deliver vehicles to our customers could adversely affect the customer experience if they do not perform to our standards of professionalism and courtesy, which could adversely impact our business (including their reputation),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UOTTA-powered EV and Battery-Swapping Station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difficulties in entering into the EV market, which may materially and adversely affect our growth and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(i) the development of UOTTA-powered EVs, and (ii) the development of battery-swapping stations, including the Titan station model, which is intended for electric trucks, and the Chipbox station model, which is intended for small logistic vehicles and ride-hailing vehicles. The execution of our business plan to enter the EV market is subject to significant risks and uncertainties, including, but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68"/>
        <w:gridCol w:w="200"/>
        <w:gridCol w:w="7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PRC subsidiaries may not be able to develop UOTTA power solutions in the desired vehicles;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UOTTA technology may not be effective in providing an alternative power solution to the currently more prevalent charging technology;</w:t>
            </w:r>
          </w:p>
        </w:tc>
      </w:tr>
    </w:tbl>
    <w:p>
      <w:pPr>
        <w:pStyle w:val="TextBody"/>
        <w:bidi w:val="0"/>
        <w:spacing w:before="0" w:after="0"/>
        <w:ind w:left="960" w:right="0" w:hanging="48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0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competitors may have better technology, resources, and experiences than 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prospective purchasers of EVs may choose not to purchase EVs with battery-swapping capabilities over conventional EVs;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retail market price of new EV vehicles may drop significantly and the potential sales of UOTTA-powered EVs may be subject to increased pricing pressure and sustain loss on future sales;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PRC subsidiaries’ existing operations are in the auto sourcing business and do not have a track record in operating the new EV businesses;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PRC subsidiaries may not be able to accurately assess and timely respond to consumer tastes, preferences and demands;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PRC subsidiaries may not be able to generate enough revenues to offset costs required in the investment of the new EV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may make our business expansion plan of entering the EV market unsuccessful. In addition, implementing this plan may require significant financial, managerial and other resources be devoted to the expansion of product lines, which may divert such resources from existing business segments and product lines. If we are not successful in executing our expansion plan, our growth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is dependent upon the demand for, and upon consumers’ willingness to adapt to, EVs and battery-swapping stations as a power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EVs depends to a large extent on general, economic, political and social conditions in a given market and the introduction of new vehicles and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EVs may also be affected by factors directly impacting automobile prices or the costs of purchasing and operating automobiles, such as sales and financing incentives, prices of raw materials and parts and components, cost of fuel and governmental regulations, including tariffs, import regulation and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demand for EVs and battery-swapping stations will depend upon the adoption by consumers of new energy vehicles. The market for new energy vehicles is still rapidly evolving, characterized by rapidly changing technologies, competitive pricing and competitive factors, evolving government regulation and industry standards and changing consumer demands and behaviors. Other factors that may influence the adoption of EVs, include, but are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perceptions about EV quality, safety, design, performance and cost, especially if adverse events or accidents occur that are linked to the quality or safety of EVs, whether or not such vehicles are produced by our PRC subsidiaries or other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perceptions about vehicle safety, in particular safety issues that may be attributed to the use of advanced technology, including EV and regenerative braking systems;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limited range over which EVs may be driven on a single battery charge/swap and the speed at which batteries can be swapped;</w:t>
            </w:r>
          </w:p>
        </w:tc>
      </w:tr>
    </w:tbl>
    <w:p>
      <w:pPr>
        <w:pStyle w:val="TextBody"/>
        <w:bidi w:val="0"/>
        <w:spacing w:before="0" w:after="0"/>
        <w:ind w:left="960" w:right="0" w:hanging="48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68"/>
        <w:gridCol w:w="200"/>
        <w:gridCol w:w="4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concerns about electric grid capacity and reliability;</w:t>
            </w:r>
          </w:p>
        </w:tc>
      </w:tr>
    </w:tbl>
    <w:p>
      <w:pPr>
        <w:pStyle w:val="TextBody"/>
        <w:bidi w:val="0"/>
        <w:spacing w:before="0" w:after="0"/>
        <w:ind w:left="960" w:right="0" w:hanging="48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68"/>
        <w:gridCol w:w="200"/>
        <w:gridCol w:w="5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new energy vehicles, including plug-in hybrid EVs;</w:t>
            </w:r>
          </w:p>
        </w:tc>
      </w:tr>
    </w:tbl>
    <w:p>
      <w:pPr>
        <w:pStyle w:val="TextBody"/>
        <w:bidi w:val="0"/>
        <w:spacing w:before="0" w:after="0"/>
        <w:ind w:left="960" w:right="0" w:hanging="48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68"/>
        <w:gridCol w:w="200"/>
        <w:gridCol w:w="5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improvements in the fuel economy of the internal combustion engine;</w:t>
            </w:r>
          </w:p>
        </w:tc>
      </w:tr>
    </w:tbl>
    <w:p>
      <w:pPr>
        <w:pStyle w:val="TextBody"/>
        <w:bidi w:val="0"/>
        <w:spacing w:before="0" w:after="0"/>
        <w:ind w:left="960" w:right="0" w:hanging="48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68"/>
        <w:gridCol w:w="200"/>
        <w:gridCol w:w="2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services for EVs;</w:t>
            </w:r>
          </w:p>
        </w:tc>
      </w:tr>
    </w:tbl>
    <w:p>
      <w:pPr>
        <w:pStyle w:val="TextBody"/>
        <w:bidi w:val="0"/>
        <w:spacing w:before="0" w:after="0"/>
        <w:ind w:left="960" w:right="0" w:hanging="48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68"/>
        <w:gridCol w:w="20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environmental consciousness of consumers;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access to battery-swapping stations, standardization of commercial-use EV battery-swapping systems and consumers’ perceptions about convenience and cost to swap batteries;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governmental incentives to purchase and operate EVs or future regulation requiring increased use of nonpolluting vehicles;</w:t>
            </w:r>
          </w:p>
        </w:tc>
      </w:tr>
    </w:tbl>
    <w:p>
      <w:pPr>
        <w:pStyle w:val="TextBody"/>
        <w:bidi w:val="0"/>
        <w:spacing w:before="0" w:after="0"/>
        <w:ind w:left="960" w:right="0" w:hanging="48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68"/>
        <w:gridCol w:w="200"/>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perceptions about, and the actual cost of, alternative fuel; and</w:t>
            </w:r>
          </w:p>
        </w:tc>
      </w:tr>
    </w:tbl>
    <w:p>
      <w:pPr>
        <w:pStyle w:val="TextBody"/>
        <w:bidi w:val="0"/>
        <w:spacing w:before="0" w:after="0"/>
        <w:ind w:left="960" w:right="0" w:hanging="48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68"/>
        <w:gridCol w:w="200"/>
        <w:gridCol w:w="20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factors described above may make it difficult for our PRC subsidiaries to promote, market or sell UOTTA-powered EVs and battery-swapping stations. If the markets for commercial-use EVs and battery-swapping stations do not grow as expected or develop more slowly than anticipated, our business, prospects, financial condition and operating results will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our ability to successfully develop, market and sell UOTTA-powered EVs and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UOTTA-powered EV and battery-swapping business depends in part on our ability to attract prospective EV buyers and battery-swapping station buyers and operating partners. To that end, we must continue to invest significant resources in the development of UOTTA-powered EVs, battery-swapping solutions and services and build relationships with automobile manufacturers, dealers and other third parties. Our ability to successfully develop, launch, sell and deliver UOTTA-powered EVs, battery-swapping solutions and related services depends on many factors, including our ability to anticipate and effectively respond to changing interests and preferences of car buyers, anticipate and respond to changes in the competitive landscape, and develop and offer products that address the needs of prospective buyers. If our efforts in these regards are unsuccessful, our business, prospects,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UOTTA-powered EVs and battery-swapping stations do not meet the expectations of customers and users, our business, financial condition and competitive position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UOTTA-powered EVs and battery-swapping stations may not perform in line with customers’ expectations. For example, UOTTA technology is a new technology and may not provide effective or reliable power solutions in practice. Furthermore, UOTTA-powered EVs and battery-swapping stations may contain defects in design and manufacturing that may cause them not to perform as expected or that may require repairs. While our PRC subsidiaries perform extensive internal testing on the vehicles and battery-swapping stations during the design and development processes, there is a limited frame of reference by which to evaluate the long-term performance of such products. There can be no assurance that we will be able to detect and fix any defects in the vehicles or battery-swapping stations prior to selling them to consumers. If any of the UOTTA-powered EVs or battery-swapping stations fail to perform as expected, deliveries may be delayed, product recalls may be initiated, and servicing or updates for products under warranty at our expense may occur, which could adversely affect our UOTTA brand in target markets and could adversely affect our business,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difficulty promoting and marketing UOTTA-powered EVs and battery-swapping stations because of the lack of unified industry standards on EV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technology and battery standards vary widely among vehicle OEMs, but automakers and battery developers are reluctant to share technical standards. Currently, EVs for commercial use vary with different size and performance capabilities, and are compatible only with specific battery models. While the Ministry of Industry and Information Technology (the “MIIT”) and other departments have issued policies related to battery-swapping technology for EVs, there is no clear timeline to promote the standardization of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in operation, our battery-swapping stations will only be able to service compatible UOTTA-powered EVs, which will limit the marketability of our battery-swapping stations and UOTTA-powered EVs. The availability of compatible battery-swapping stations in the areas of their operations will affect our ability to market and sell compatible UOTTA-powered EVs, and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in the future, the MIIT publishes unified standards for EV batteries, we may incur substantial costs to conform existing and future products to such standards. If we were to fail to comply with the potential EV battery standards imposed by the MIIT, it could result in sanctions being imposed on our PRC subsidiaries, including manufacturing holds, fines, injunctions, civil penalties, delays, suspension or withdrawal of approvals, license revocation, seizures or recalls of products, operating restrictions and criminal prosecutions, any of which could significantly and adversely affect our UOTTA-powered EV and battery-swapping station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aforementioned developments may adversely affect our ability to commercialize UOTTA-powered EVs and battery-swapping stations, as well as our business,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 parties for manufacturing UOTTA-powered commercial-use EVs and battery-swapping stations increases the risk that the supply of our products may become limited or interrupted or may not be of satisfactory quality and quantity.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lack resources for manufacturing EVs and will depend on the cooperating automobile manufacturers to manufacture UOTTA-powered EVs. Although we have our own factory for battery-swapping station manufacturing, we currently rely on third-party manufacturers for parts and components and have limited personnel with experience in battery-swapping station manufacturing. Our reliance on third-party manufacturers exposes us to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identify alternative cooperating manufacturers on acceptable terms or at all, because the number of potential cooperating manufacturers is limited. This may require new testing and regulatory interactions. In addition, any new cooperating manufacturer would have to be educated in, or develop substantially equivalent processes for, the production of our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or any future third-party cooperating manufacturers might be unable to timely manufacture our products or produce the quantity and quality required to meet our commercial needs, if 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any other third-party cooperating manufacturers may not be able to execute our manufacturing procedures appropriately.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any future third-party cooperating manufacturers may not perform as agreed upon or may not remain in the contract manufacturing business for the time required to supply trials or to successfully produce, store and distribute our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Manufacturers are subject to inspections and regulations by the relevant PRC agencies, such as the MIIT, the National Development and Reform Commission, the State Administration for Market Regulation, National Energy Administration, and the Ministry of Transport, to ensure strict compliance with regulatory requirements and standards. Our PRC subsidiaries do not have control over third-party manufacturers’ compliance with such regulations and standards.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own, or may have to share, the intellectual property rights to any additional improvements made by the third-party manufacturers in the manufacturing process for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not entered into any exclusive cooperation agreements with third-party manufacturers, therefore the manufacturers may choose to develop and manufacture similar models with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upon others for the manufacture of products may also adversely affect profit margins and our ability to commercialize any products on a timely and competitive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regulatory requirements,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manufacture, and sale of EVs and battery-swapping stations must comply with relevant laws and regulations. Any failure by us or our cooperating manufacturers to adhere to, or comply with, regulatory requirements could lead to a delay or interruption in the availability of our products or enforcement action from the regulatory authorities. If we or our cooperating manufacturers were to fail to comply with regulatory requirements, it could result in sanctions being imposed on us, including manufacturing holds, fines, injunctions, civil penalties, delays, suspension or withdrawal of approvals, license revocation, seizures or recalls of products, operating restrictions and criminal prosecutions; any of which could significantly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maintain our strategic partnerships with auto manufacturers to jointly develop UOTTA-powered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formed strategic partnerships and entered into cooperating agreements to jointly develop UOTTA-powered EVs with certain automobile manufactures in China. There can be no assurance that our PRC subsidiaries will be able to maintain their strategic partnerships with cooperating auto manufacturers. The cooperating agreements do not indicate exclusive collaborative relationships, and do not specify a definitive commitment as to the scale or results of their cooperation. The cooperating auto manufacturers may terminate or reduce the scale of strategic partnerships with us, or otherwise limit our ability to develop UOTTA-powered EVs or enter into the EV market. Furthermore, if we fail to perform certain contractual obligations required by these cooperation agreements, such as the obligation of providing financing solutions and support to the joint development and promotion of the UOTTA-powered EVs and power-swapping stations, there is a risk that the cooperating auto manufacturers may end their strategic partnerships or reduce the scale of their collaborations with our us. If we fail to maintain strategic partnerships with the cooperating auto manufacturers, it will adversely affect our business results of operations and our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 parties for the supply of components and parts to manufacture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third parties for the supply of certain parts and components for the manufacturing of battery-swapping stations. If such suppliers fail to provide us with products that satisfy their requirements, we may not be able to secure replacement products on favorable terms, in a timely manner, or at all. In addition, defective parts and components from these suppliers may cause personal and/or property damage to our customers, resulting in claims against us, for which indemnity from such suppliers may not be sufficient or available. We may also incur significant financial costs in connection with such claims and they may divert management’s attention away from other important matters. As a result, our business, financial condition and results of operations may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experience cost increases or disruptions in supply of raw materials or other components used in the manufacturing of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various parts and components in the manufacturing of battery-swapping stations, including containers and charging cabinets sourced from over 15 suppliers. Our suppliers also rely on key raw materials, such as steel and aluminum to produce parts and components. The supply chain exposes them to multiple potential sources of delivery failure or component shortages. Events in upstream supplies and component shortages may negatively impact our ability to plan and deliver ordered battery-swapping stations in a timely fashion.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our suppliers, nor their business practices. Accordingly, we cannot guarantee that the quality of the components will be consistent and maintained to a high standard. Any defects of or quality deficiency issues associated with these components, or any noncompliance incidents associated with these third-party suppliers could result in quality deficiencies, which could compromise our brand image and results of operations. Additionally, we cannot guarantee the suppliers’ compliance with ethical business practices, such as environmental responsibilities, fair wage practices, and compliance with child labor laws, among others. A lack of demonstrated compliance with any such requirements could lead us to seek alternative suppliers, which could increase costs and result in delayed delivery of products, product shortages, or other disruptions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qualifying alternate suppliers for certain customized components of battery-swapping stations may be time-consuming and costly. Any disruption in the supply of components could temporarily disrupt production of vehicles until an alternative supplier is fully qualified by them or is otherwise able to supply them with the required material. We cannot assure you that in such circumstances we would be able to successfully retain alternative suppliers or supplies on a timely basis, on acceptable terms, or at all. Changes in business conditions, force majeure, government changes, or other factors beyond our control or anticipation, could also affect our PRC subsidiaries’ suppliers’ ability to deliver components to them on a timely basis. Moreover, if we experience a significant increase in demand or need to replace existing suppliers, there can be no assurance that additional supplies will be available when required on terms that are favorable to them, or at all, or that any supplier would allocate sufficient supplies to them in order to meet their requirements or fill our orders in a timely manner. Any of the foregoing could materially and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conditions affecting one or more of our cooperating automobile manufacturers, battery-swapping station manufacturers and suppliers may negatively impact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our business depends to a great extent on the reputation, as well as marketing and production capabilities of cooperating automobile manufacturers and battery-swapping station manufacturers, and suppliers with whom we collaborate. Adverse conditions affecting these and other important aspects of these manufacturers’ operations may adversely affect our PRC subsidiaries’ ability to develop and market the UOTTA-powered EVs and battery-swapping stations, and result in material adverse impact upon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and may continue to experience, delays in the development and launch of UOTTA-powered EV models in collaboration with our cooperating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entered into cooperating agreements to jointly develop UOTTA-powered EVs with two major automobile manufacturers by adapting selected EV models with our UOTTA technology. We have experienced, and may continue to experience, delays in the development and commercial release of UOTTA-powered EV models, due to various reasons, such as delays in resolving design issues and obtaining the required governmental approvals. Furthermore, we rely on third-party suppliers for the provision and development of certain key components to be used in the UOTTA-powered EVs. To the extent we need to further delay the launch of the UOTTA-powered EVs, our growth prospects could be materially and adversely affected, as we may lose the targeted markets to competitors and miss the opportunity to enter into the EV market as we had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UOTTA-powered EVs we jointly develop with cooperating automobile manufacturers are subject to motor vehicle safety standards and the failure to satisfy such mandated safety standards would have a material adverse effect on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vehicles must comply with various safety standards of the market where the vehicles are sold. In China, vehicles must meet or exceed all mandated safety standards. Rigorous testing prior to the launch of vehicles and auto parts and the use of approved materials and equipment are among the requirements for achieving such standards. Vehicles must pass various tests and undergo a certification process and be affixed with the China Compulsory Certification (“CCC”), before receiving delivery from the factory, being sold, or being used in any commercial activity, and such certification is also subject to periodic renewal. The process of obtaining the CCC typically requires four to five months. Furthermore, the government carries out the supervision and scheduled and unscheduled inspection of certified vehicles on a regular basis. In the event that a certified vehicle has a defect resulting in quality or safety accidents, or consistently fails to comply with certification requirements during follow-up inspections, the CCC may be suspended or even revoked. Any vehicle that fails to satisfy the requirements for the CCC may not continue to be delivered, sold, imported or used in any commercial activities. If we fail to ensure that each of the UOTTA-powered car models satisfy the safety standards, our business, prospects and financial conditions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construction and operation of our battery-swapping station manufacturing facilities are subject to regulatory approvals or filings and may be subject to changes, delays, cost overruns or may not produce expected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and construction projects in question may be subject to fines or the suspension of use of such projects. Failure to complete the construction projects on schedule and within budget, and failure to obtain necessary approvals or any incompliance with relevant government supervision could have a material adverse impact on our PRC subsidiaries’ operations, and we may not be able to find commercially reasonable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unavailability, reduction or elimination of government and economic incentives or government policies which are favorable for EVs, domestically produced vehicles or battery-swapping stations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depends significantly on the availability and amounts of government subsidies, economic incentives and government policies that support the expansion of the new energy vehicle industries. Favorable government incentives and subsidies vary by geographic region in China, and may include one-time government subsidies, exemption from vehicle purchase tax, exemption from license plate restrictions in certain cities, preferential utility rates for charging facilities and more. Changes in government subsidies, economic incentives and government policies to support EVs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China’s central government provides subsidies for purchasers of certain EVs and reviews and further adjusts the subsidy standards on an annual basis. According to </w:t>
      </w:r>
      <w:r>
        <w:rPr>
          <w:rFonts w:ascii="Times New Roman;Times;Serif" w:hAnsi="Times New Roman;Times;Serif"/>
          <w:b w:val="false"/>
          <w:i/>
          <w:caps w:val="false"/>
          <w:smallCaps w:val="false"/>
          <w:sz w:val="20"/>
        </w:rPr>
        <w:t xml:space="preserve">Notice on the Fiscal Subsidy Policy for the Promotion and Application of New Energy Vehicles in 2022(Cai Jian [2021] No.466), </w:t>
      </w:r>
      <w:r>
        <w:rPr>
          <w:rFonts w:ascii="Times New Roman;Times;Serif" w:hAnsi="Times New Roman;Times;Serif"/>
          <w:b w:val="false"/>
          <w:i w:val="false"/>
          <w:caps w:val="false"/>
          <w:smallCaps w:val="false"/>
          <w:sz w:val="20"/>
        </w:rPr>
        <w:t>in 2022, the subsidy standard by the Chinese central government for new energy vehicles was lowered by 30% from the level of 2021; with the exception that the subsidy standard for vehicles used for urban public transportation, road passenger transport, taxis (including taxis subject to online booking), environmental sanitation, urban logistics and distribution, postal and express delivery, civil aviation airports and official duties of the Chinese Communist Party and government organs was lowered by 20% from the level of 2021. The new energy vehicle purchase subsidies were terminated on December 31, 2022, and no subsidies will be granted to vehicles licensed after December 31, 2022. On January 30, 2023, the Ministry of Industry and Information Technology, the Ministry of Transport, together with the Development and Reform Commission, the Ministry of Finance, the Ministry of Ecology and Environment, the Ministry of Housing and Urban-Rural Development, the Energy Bureau, and the Post Office launched the pilot work of the public domain vehicle comprehensive electrification pilot area nationwide, with a pilot period of 2023-2025 (the “2023 New Energy Vehicle Subsidy Policy”). The main goal is to significantly increase the level of vehicle electrification. The proportion of new energy vehicles in new and updated vehicles in pilot areas has increased significantly, among which, urban public transportation, leasing, sanitation, postal express delivery, and urban logistics distribution areas strive to reach 80%. Further, in order to promote the development of local new energy vehicles, 23 cities have recently announced the 2023 New Energy Vehicle Subsidy Policy. See “Item 4. Information on the Company — B. Business Overview — Regulation — Favorable Government Policies Relating to New Energy Vehicles (“NEV”) in the PRC.” As a result, the future sales of the UOTTA-powered vehicles might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also be impacted by government policies such as tariffs on imported cars and foreign investment restrictions in the industry. The tariff in China on imported passenger vehicles (other than those originating in the United States of America) was reduced to 15% starting from July 1, 2018. As a result, pricing advantage of domestically manufactured vehicles could be diminished. There used to be certain limit on foreign ownership of automakers in China, but for automakers of EVs, such limit was lifted in 2018. Further, pursuant to the currently effectively Special Administrative Measures for Market Access of Foreign Investment (2021 Version), or the 2021 Negative List, which came into effect on January 1, 2021, the limit on foreign ownership of automakers for ICE passenger vehicles was lifted. As a result, foreign EV competitors can build wholly owned facilities in China without the need for a domestic joint venture partner. The above changes may affect the competitive landscape of the EV industry and reduce any pricing advantage we had enjoyed, which may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central government encourages local governments to provide funds and subsidies to support the roll-out of EV charging infrastructures. On October 20, 2020, the General Office of the State Council issued the Notice on Development Plan of New Energy Vehicles Industry (2021-2035). Pursuant to such notice, the new energy vehicles industry in China has entered a new stage for accelerated development, in which the state plans to promote the construction of charging and swapping networks, encourage the application of the power exchange mode, strengthen the research and development of new charging technologies, and improve charging convenience and product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policies are subject to change and beyond our control. Furthermore, any reduction, elimination, delayed payment or discriminatory application of government subsidies and economic incentives because of policy changes, the reduced need for such subsidies and incentives due to the perceived success of EVs, fiscal tightening or other factors may result in the diminished competitiveness of the new energy vehicle industry generally, or UOTTA-powered EVs, in particular. Any of the foregoing could materially and adversely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Our Class A Ordinary Shares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Class A Ordinary Shares may not develop or sustain, and the trading price for our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 active market in our Class A Ordinary Shares will develop or be sustained. If an active market does not develop, the market price and liquidity of our Class A Ordinary Shares may be materially and adversely affected, and holders of our Class A Ordinary Shares may be unable to readily sell the shares they hold or may not be able to sell their shares at all. There can be no guarantee that we will continue to satisfy the continued listing standards of Nasdaq. If we fail to satisfy the continued listing standards, we could be de-listed, which would have a negative effect on the price of our Class A Ordinary Shares and impair your ability to sell your shares. As a result, investors in our securities may experience a significant decrease in the value of their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Class A Ordinary Shares has been, and is likely to continue to be, volatile, which could result in substantial losses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has been, and is likely to continue to be, volatile and could fluctuate widely due to various factors, some of which are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Class A Ordinary Shares,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market and industry factors, the price and trading volume for our Class A Ordinary Shares may be highly volatile for factors specific to our own operations,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68"/>
        <w:gridCol w:w="200"/>
        <w:gridCol w:w="40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income, earnings and cash flow;</w:t>
            </w:r>
          </w:p>
        </w:tc>
      </w:tr>
    </w:tbl>
    <w:p>
      <w:pPr>
        <w:pStyle w:val="TextBody"/>
        <w:bidi w:val="0"/>
        <w:spacing w:before="0" w:after="0"/>
        <w:ind w:left="960" w:right="0" w:hanging="48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200"/>
        <w:gridCol w:w="93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investments, acquisitions, strategic partnerships or joint ventures by us or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68"/>
        <w:gridCol w:w="200"/>
        <w:gridCol w:w="60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services and expansions by us or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68"/>
        <w:gridCol w:w="200"/>
        <w:gridCol w:w="43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analysts;</w:t>
            </w:r>
          </w:p>
        </w:tc>
      </w:tr>
    </w:tbl>
    <w:p>
      <w:pPr>
        <w:pStyle w:val="TextBody"/>
        <w:bidi w:val="0"/>
        <w:spacing w:before="0" w:after="0"/>
        <w:ind w:left="960" w:right="0" w:hanging="48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68"/>
        <w:gridCol w:w="20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detrimental adverse publicity about us, our services or our industry;</w:t>
            </w:r>
          </w:p>
        </w:tc>
      </w:tr>
    </w:tbl>
    <w:p>
      <w:pPr>
        <w:pStyle w:val="TextBody"/>
        <w:bidi w:val="0"/>
        <w:spacing w:before="0" w:after="0"/>
        <w:ind w:left="960" w:right="0" w:hanging="48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68"/>
        <w:gridCol w:w="200"/>
        <w:gridCol w:w="3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of lock-up or other transfer restrictions on our outstanding equity securities or sales of additional equity securities; and</w:t>
            </w:r>
          </w:p>
        </w:tc>
      </w:tr>
    </w:tbl>
    <w:p>
      <w:pPr>
        <w:pStyle w:val="TextBody"/>
        <w:bidi w:val="0"/>
        <w:spacing w:before="0" w:after="0"/>
        <w:ind w:left="960" w:right="0" w:hanging="48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68"/>
        <w:gridCol w:w="200"/>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or regulatory 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our Class A Ordinary Shares will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extreme stock price volatility unrelated to our actual or expected operating performance, financial condition or prospects, making it difficult for prospective investors to assess the rapidly changing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relatively small-capitalization company with relatively small public float, we may experience greater share price volatility, extreme price run-ups, lower trading volume and less liquidity than large-capitalization companies. In particular, our Class A Ordinary Shares may be subject to rapid and substantial price volatility, low volumes of trade and large spreads in bid and ask prices. Such volatility, including any share run-up, may be unrelated to our actual or expected operating performance, financial condition or prospects, making it difficult for prospective investors to assess the rapidly changing value of our Class A Ordinary Shares. In addition, investors of our Class A Ordinary Shares may experience losses, which may be material, if the price of our Class A Ordinary Shares declines or if such investors purchase Class A Ordinary Shares prior to any price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Class A Ordinary Shares, the market price for our Class A Ordinary Shares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Ordinary Shares will be influenced by research or reports that industry or securities analysts publish about our business. If one or more analysts who cover us downgrade our Class A Ordinary Shares, the market price for our Class A Ordinary Shares would likely decline. If one or more of these analysts cease to cover us or fail to regularly publish reports on us, we could lose visibility in the financial markets, which in turn could cause the market price or trading volume for our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our Class A Ordinary Shares could adversely affect their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The Class A Ordinary Shares sold in the initial public offering and follow-on offerings are freely tradable without restriction or further registration under the Securities Act, and shares held by our existing shareholders may also be sold in the public market in the future, subject to the restrictions in Rule 144 and Rule 701 under the Securities Act and the any applicable lock-up agreements. We cannot predict what effect, if any, market sales of securities held by our significant shareholders or any other shareholder or the availability of these securities for future sale will have on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price appreciation of our Class A Ordinary Shares for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as a source for any future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In addition, our shareholders may declare dividends by ordinary resolution, but no dividend shall exceed the amount recommended by our board of directors. Accordingly, the return on your investment in our Class A Ordinary Shares will likely depend entirely upon any future price appreciation of our Class A Ordinary Shares. There is no guarantee that our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memorandum and articles of association contain anti-takeover provisions that could have a material adverse effect on the rights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or to obtain copies of lists of shareholders of such companies (save for our memorandum and articles of association, our register of mortgages and charges and special resolutions of our shareholders). Our directors have discretion under our articles of association to determine whether,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differ significantly from requirements for companies incorporated in other jurisdictions such as the U.S. To the extent we choose to follow home country practice, shareholders may be afforded less protection than they otherwise would have under rules and regulations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we are subject to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Nasdaq corporate governance listing standards. A Cayman Islands company is not required to have annual general meetings.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To the extent we choose to follow home country practice with respect to corporate governance matters, our shareholders may be afforded less protection than they otherwise would under rules and regulations applicable to U.S. domestic issuers. For details as to the corporate governance matters for which we have elected to follow our home country practices, rather than Nasdaq listing standards, please see “Item 16.G—Corporate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substantially increased costs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The Sarbanes-Oxley Act of 2002, as well as rules subsequently implemented by the SEC and Nasdaq, impose various requirements on the corporate governance practices of public companies. Compliance with these rules and regulations increases our legal and financial compliance costs and makes some corporate activities more time-consuming and costlier. We have incurred additional costs in obtaining director and officer liability insurance. In addition, we incur additional costs associated with our public company reporting requirements. Such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United States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requiring the filing of quarterly reports on Form 10-Q or current reports on Form 8-K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 and</w:t>
            </w:r>
          </w:p>
        </w:tc>
      </w:tr>
    </w:tbl>
    <w:p>
      <w:pPr>
        <w:pStyle w:val="TextBody"/>
        <w:bidi w:val="0"/>
        <w:spacing w:before="0" w:after="0"/>
        <w:ind w:left="960" w:right="0" w:hanging="48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68"/>
        <w:gridCol w:w="200"/>
        <w:gridCol w:w="7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 annual report on Form 20-F within four months of the end of each fiscal year. In addition, we intend to publish our results through press releases, distributed pursuant to the rules and regulations of the Nasdaq. Press releases relating to financial results and material events will also be furnished to the SEC on Form 6-K. However, the information we are required to file with or furnish to the SEC is less extensive and less timely than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our Nasdaq listing, we may face increased regulatory burdens and reduced investor protections on over-the-counter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Ordinary Shares are delisted from Nasdaq, they would likely trade, if at all, on over-the-counter markets such as the OTCQX, OTCQB or OTC Pink marketplaces. These alternative markets are generally considered to be less efficient and less liquid than Nasdaq. Trading on the over-the-counter markets could subject our Class A Ordinary Shares and our shareholders to additional risks, including limited availability of market quotations, reduced liquidity, decreased market-making activity, reduced analyst coverage, and our decreased ability to issue additional Class A Ordinary Shares or obtain additional financing. Additionally, the price of our Class A Ordinary Shares on these markets may be more volatile than on Nasdaq, and shareholders may find it more difficult to dispose of or obtain accurate price information about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proposed a new $5 million minimum market value continued listing requirement that, if approved, could result in immediate suspension and delisting of our Class A Ordinary Shares without any cure period or opportunity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our Class A Ordinary Shares would be immediately suspended from trading and delisted from Nasdaq, with no cure period, no compliance period, and no stay of suspension during any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(the “Hearings Panel”) to appeal a delisting determination, such a request would not prevent the immediate suspension of our Class A Ordinary Shares from trading. Furthermore, the Hearings Panel would have extremely limited discretion and could only reverse the delisting decision if it determines that the initial determination was in error, and the Hearings Panel could not consider evidence that we had subsequently regained compliance or grant us additional time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our Class A Ordinary Shares have experienced price volatility, there is a risk with our market value falling below $5 million if the proposed rule is adopted. Our market value is calculated as our consolidated closing bid price multiplied by our total Listed Securities.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 If we are simultaneously addressing our existing minimum bid price deficiency when the proposed rule becomes effective, we could face multiple overlapping listing threats that compound the risk of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is part of a broader trend of Nasdaq tightening listing standards for small issuers, including recent rules granting Nasdaq discretion to deny initial listings based on susceptibility to manipulative trading and other market value-based requirements. This increasingly stringent regulatory environment creates greater challenges for microcap companies like us to maintain public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$5 million market value continued listing requirement is approved and we subsequently fail to maintain the required market value for 30 consecutive business days, our Class A Ordinary Shares would be immediately suspended and delisted from Nasdaq with no opportunity to cure the deficiency, which would have severe adverse consequences for our business, our ability to raise capital, and the liquidity and value of our shareholders’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conflicts involving Iran, military actions in the Middle East, and the war in Ukraine may adversely affect global economic conditions and cause significant volatility in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military conflict involving the United States, Israel, and Iran, which escalated significantly in February 2026, has led to profound instability in global financial and energy markets. These events, including the closure of strategic airspaces and critical maritime routes such as the Strait of Hormuz and the Red Sea, have contributed to a dramatic increase in the price of oil and gas and created widespread market uncertainty. The ongoing disruptions caused by these military actions, and the potential for further escalation, could result in protracted and severe damage to the global economy and investment climate.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continuing war in Ukraine and the resulting sanctions levied by the United States, the European Union, and other nations against Russia continue to impact global financial markets. The extent and duration of these military actions in the Middle East and Eastern Europe, as well as the resulting sanctions and market disruptions, are impossible to predict but are expected to remain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geopolitical instability often leads to broad sell-offs in the equity markets and heightened investor sensitivity to risk. Consequently, these developments may materially and adversely affect the market price of our Class A Ordinary Shares, regardless of our actual operating performance. We cannot predict the ultimate progress or outcome of these situations, and any prolonged unrest or intensified military activities could have a material adverse effect on the global economy, which in turn could negatively impact our financial condition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share structure with different voting rights may adversely affect the value and liquidity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 class share structure with different voting rights will result in a lower or more volatile market price of the Class A Ordinary Shares, in adverse publicity, or other adverse consequences. Certain index providers have announced restrictions on including companies with multiple class share structures in certain of their indices. Because of our dual class structure, we will likely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the Class A Ordinary Shares less attractive to investors. In addition, several shareholder advisory firms have announced their opposition to the use of multiple class structure and our dual class structure may cause shareholder advisory firms to publish negative commentary about our corporate governance, in which case the market price and liquidity of the Class A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share structure with different voting rights will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dual class share structure such that our Ordinary Shares consist of Class A Ordinary Shares and Class B Ordinary Shares. In respect of matters requiring the votes of shareholders, each Class A Ordinary Share is entitled to one (1) vote and each Class B Ordinary Share is entitled to one hundred (100) votes. Each Class B Ordinary Share is convertible into one Class A Ordinary share at any time by the holder thereof. Our Class A Ordinary Shares are not convertible into our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our Class A Ordinary Shares are tradable on the market. This voting structure may discourage investors from pursuing any change of control transactions that holders of our Class A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history and development of the Company, please refer to “Item 3. Key Information — Our 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our ordinary shares commenced trading on the Nasdaq Capital Market under the symbol “UCAR.”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we closed our initial public offering. We raised $15.0 million in gross proceeds from our initial public offering, before deducting underwriting discounts and other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we closed a registered follow-on offering and raised gross proceeds of $12.0 million, before deducting offering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2024, U SWAP CO., LTD. was incorporated in Thailand under the Civil and Commercial Code, which is 15% owned by Mr. Ke Zhang and 85% owned by Energy U limited,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Entry into two Material Definitive Agreements with Fortune Light Assets Ltd. (May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a subscription agreement with Fortune Light Assets Ltd. (“FLA”). Pursuant to the subscription agreement, FLA agreed to subscribe for and purchase, and the Company agreed to issue and sell to FLA, pursuant to Rule 902 of Regulation S (“Regulation S”) promulgated under the Securities Act, an aggregate of 209,644 ordinary shares of the Company, par value US$0.00001 per share, at a purchase price of $4.77 per share, for an aggregate purchase price of $1,000,001.88. The closing of the transaction took place on June 15, 2024. Pursuant to the subscription agreement, FLA is entitled to the following: (i) one demand registration with respect to the 209,644 ordinary shares (which demand registration right terminated on the six-month anniversary of the execution date of the subscription agreement); and (ii) the right to purchase of up to 492,611 additional ordinary shares of the Company at a per share price of $6.09 for a total purchase price of up to $3,000,000.99, pursuant to an agreement to be in customary form reasonably acceptable to the parties, and such right to purchase additional shares will terminate on the two-year anniversary of the execution date of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2024, we entered into a subscription agreement with FLA. Pursuant to the subscription agreement, FLA agreed to subscribe for and purchase, and the Company agreed to issue and sell to FLA, pursuant to Regulation S , an aggregate of 209,644 ordinary shares of the Company, par value US$0.00001 per share, at a purchase price of $4.77 per share, for an aggregate purchase price of $1,000,001.88. The closing of the transaction took place on July 3, 2024. Pursuant to the subscription agreement, FLA is entitled to the following: (i) one demand registration with respect to the 209,644 ordinary shares (which demand registration right expired on the six-month anniversary of the execution date of the subscription agreement); and (ii) the right to purchase of up to 164,204 additional ordinary shares of the Company at a per share price of $6.09 for a total purchase price of up to $1,000,002.36, pursuant to an agreement to be in customary form reasonably acceptable to the parties, and such right to purchase additional shares will terminate on the two-year anniversary of the execution date of the subscription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Entry into a Material Definitive Agreements with Big Benefit Ltd. (May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2024, we entered into a subscription agreement with Big Benefit Ltd. (“BBL”). Pursuant to the subscription agreement, BBL agreed to subscribe for and purchase, and the Company agreed to issue and sell to BBL, pursuant to Regulation S, an aggregate of 419,289 ordinary shares of the Company, par value US$0.00001 per share, at a purchase price of $4.77 per ordinary share, for an aggregate purchase price of $2,000,008.53.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took place on June 10, 2024. BBL was entitled to one demand registration with respect to the 419,289 ordinary shares (which demand registration right expired on the six-month anniversary of the execution date of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Venture in Thailand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2024, U SWAP Co., Ltd., signed a cooperation agreement with Ezzy Transporter (Thailand) Company Limited (“Ezzy Transporter”) to establish Greendrive Tech Co. Ltd. (“Greendrive”), a company formed for the purpose of expanding the market for and facilitating the sale of electric vehicles (“EVs”) in Thailand (the “Joint Venture”). Pursuant to the agreement, the parties to the Joint Venture will seek to integrate the Company’s proprietary UOTTA battery-swapping technology into a diversified fleet of vehicles in Thailand, including taxis, ride-sharing vehicles, and multipurpose pickup trucks.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Venture will undertake the three following principal areas of strategic development:</w:t>
      </w:r>
    </w:p>
    <w:p>
      <w:pPr>
        <w:pStyle w:val="TextBody"/>
        <w:bidi w:val="0"/>
        <w:spacing w:before="0" w:after="0"/>
        <w:ind w:left="0" w:right="0" w:hanging="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68"/>
        <w:gridCol w:w="200"/>
        <w:gridCol w:w="6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Customization of battery-swapping EVs to meet targeted customer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8"/>
        <w:gridCol w:w="9959"/>
      </w:tblGrid>
      <w:tr>
        <w:trPr/>
        <w:tc>
          <w:tcPr>
            <w:tcW w:w="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a comprehensive battery-swapping ecosystem within the taxi and ride-sharing markets, including vehicle sales, battery-swapping station operations, and end-of-life vehicle recycling initiatives;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Marketing and distribution of battery-swapping pick-up trucks, with an emphasis on building and expanding a robust dealer network throughout Thailand.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these complementary activities, the Joint Venture is expected to deliver integrated EV solutions across the entire electric vehicle value chain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Greendrive’s initial production run is scheduled for completion in 2026 and will consist of approximately 2,000 custom-built sedans and multipurpose pickup trucks equipped with UOTTA technology. The Company also intends to explore future cooperation opportunities with other strategic partners to invest in and expand the UOTTA battery-swapping station infrastructure in Thailand, with the objective of supporting the full-scale commercialization of the UOTTA battery-swapping model amid Thailand’s ongoing transition toward electric mobility.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annual general meeting of shareholders (the “AGM”) of the Company was held on August 13, 2024. At the AGM, the shareholders of the Company adopted the following resolutions with respect to the variation of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4"/>
        <w:gridCol w:w="9923"/>
      </w:tblGrid>
      <w:tr>
        <w:trPr/>
        <w:tc>
          <w:tcPr>
            <w:tcW w:w="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all of the issued shares of a par value of US$0.00001 each (the “Shares”) in the capital of the Company (other than the 71,250 ordinary shares held by U Create Limited, the 157,859 ordinary shares held by U Trend Limited, the 149,435 ordinary shares held by Upincar Limited and the 209,644 ordinary shares held by FLA) into Class A ordinary shares of US$0.00001 each, with each Class A ordinary share of US$0.00001 each entitled to one vote;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the 71,250 ordinary shares held by U Create Limited, the 157,859 ordinary shares held by U Trend Limited, the 149,435 ordinary shares held by Upincar Limited and the 209,644 ordinary shares held by FLA into Class B ordinary shares of US$0.00001 each, with each Class B ordinary share of US$0.00001 each entitled to 20 votes;</w:t>
            </w:r>
          </w:p>
        </w:tc>
      </w:tr>
    </w:tbl>
    <w:p>
      <w:pPr>
        <w:pStyle w:val="TextBody"/>
        <w:bidi w:val="0"/>
        <w:spacing w:before="0" w:after="0"/>
        <w:ind w:left="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68"/>
        <w:gridCol w:w="260"/>
        <w:gridCol w:w="923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3,996,621,812 authorized but unissued Shares as Class A ordinary shares of US$0.00001 each; and</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75"/>
        <w:gridCol w:w="887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1,000,000,000 authorized but unissued Shares as Class B ordinary shares of US$0.00001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AGM, and as a result thereof,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Entry into a Material Definitive Agreement with certain institutional investors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entered into a securities purchase agreement with certain institutional investors, pursuant to which we issued and sold i) in a registered direct offering 648,000 Class A ordinary shares of US$0.00001 each and pre-funded warrants to purchase up to 393,668 Class A ordinary shares of US$0.00001 each (the “January 24, 2025 Pre-funded Warrants”), and ii) in a concurrent private placement, common warrants to purchase up to 1,562,502 Class A ordinary shares of US$0.00001 each (the “January 24, 2025 Common Warrants”), which have an exercise price of $4.80 per Class A ordinary share of US$0.00001 each, are exercisable immediately as of such date and will expire on January 28, 2030 (the “January 2025 Offering”). The combined offering price for each Class A ordinary share of US$0.00001 each and accompanying January 24, 2025 Common Warrant was $4.80. The closing of the transaction took place on January 27, 2025. The gross proceeds to the Company were approximately $5.0 million before deducting the placement agent’s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 US$0.00001 each, the January 24, 2025 Pre-Funded Warrants and the Class A ordinary shares of US$0.00001 each underlying the January 24, 2025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January 24, 2025. The issuance of the January 24, 2025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Entry Into a Material Definitive Agreement with Certain Institutional Investors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we entered into a securities purchase agreement (the “July 2025 SPA”) with certain institutional investors, pursuant to which we issued and sold (i) in a registered direct offering 445,000 Class A ordinary shares of the Company, par value $0.00001 per share, and certain pre-funded warrants to purchase up to 106,628 Class A ordinary shares of the Company, par value $0.00001 per share, and (ii) in a concurrent private placement, certain common warrants to purchase up to 551,628 Class A ordinary shares of the Company, par value $0.00001 per share, which common warrants have an exercise price of $2.50 per Class A ordinary share of the Company, par value $0.00001 per share, are exercisable immediately and will expire on July 24, 2030. The combined offering price for each Class A ordinary share of the Company, par value $0.00001 per share, and accompanying common warrant was $2.50. The closing of the transaction took place on July 25, 2025. The gross proceeds to the Company were approximately $1.38 million before deducting the placement agent’s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the pre-funded warrants and the Class A ordinary shares underlying the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July 24, 2025. The issuance of the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Entry into Material Agreements with Maxim Group LLC and an institutional investor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entered into a placement agency agreement (the “Placement Agency Agreement”) with Maxim Group LLC, as the sole placement agent, and a securities purchase agreement (the “December 2025 SPA”) with an institutional investor, pursuant to which the Company received US$2,013,600 in consideration for the issuance of a series of senior secured promissory notes (collectively, the “2025 Senior Secured Promissory Notes”) in the original aggregate principal amount of US$2,517,000 to the institutional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Senior Secured Promissory Notes were issued with twenty percent (20%) original issue discount, and bear no interest unless an event of default occurs, and are due and payable by the Company on the maturity date of March 1, 2026. Any principal or other amounts due under the December 2025 SPA and the 2025 Senior Secured Promissory Notes that are not paid when due (excluding amounts already accruing interest at the default rate established therefor under the 2025 Senior Secured Promissory Notes) will incur a late charge equal to 18% per annum from the due date until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December 1, 2025, the institutional investor and certain subsidiaries of the Company (collectively, the “Pledgors”), entered into a pledge agreement (the “Pledge Agreement”), pursuant to which the Pledgors pledged their respective interests in Ordinary Shares of the Company and other related collateral (collectively, the “Pledged Collateral”) to the investor, to secure the prompt payment and performance of all obligations under the 2025 Senior Secured Promissory Notes, the December 2025 SPA, and related transaction documents. Concurrently therewith, the Company, the Pledgors, and the institutional investor entered into an equity interest control agreement to perfect the security interest pledged in the Pledged Collateral pursuant to the Pledge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Senior Secured Promissory Notes, in the event of any delay in the repayment of principal, the Company shall pay to Maxim Group LLC a late charge at a rate equal to 18% per annum, calculated from the applicable due date until such amount is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were sold pursuant to an exemption from the registration requirements under Section 4(a)(2) of the Securities Act and/or Rule 506 of Regulation D promulgated thereunder. The investor is an accredited investor that purchased the securities as an investment in a private placement that did not involve a general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Voting Power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subsequently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subsequently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fractional shares (after aggregating all fractional shares that would otherwise be received by a shareholder) resulting from each of the Share Consolidations will be rounded up to the whole number of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Exchange and Cancellation Agreement with SABBY VOLATILITY WARRANT MASTER FUND LTD.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we entered into a Warrant Exchange and Cancellation Agreement (the “Exchange Agreement”) with SABBY VOLATILITY WARRANT MASTER FUND LTD. (the “Holder”), pursuant to which the Holder agreed to the full surrender and cancellation of 551,628 ordinary share purchase warrants previously issued to the Holder on July 25, 2025 (the “Cancelled Warrants”). Upon such cancellation, all rights under the Cancelled Warrants, including the price reset mechanisms set forth in Section 3(b) thereof, were terminated and are of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the cancellation of the Cancelled Warrants, the Company agreed to issue 3,000,000 Class A ordinary shares of the Company, par value $0.00001 per share, to the Holder (the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the Cancelled Warrants for the Exchange Shares was made in reliance upon the exemption from registration provided by Section 3(a)(9) of the Securities Act. No commission or other remuneration was paid or given, directly or indirectly, for soliciting such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all the Exchange Shares were issued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Follow-on Offering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Company closed its underwritten follow-on offering (the “March 2026 Offering”) of 13,360,000 units (each, a “Unit,” and, collectively, the “Units”), with each Unit consisting of (i) one Class A ordinary share, par value $0.00001 per share , and (ii) one Class A warrant to purchase one Class A ordinary share, par value $0.00001 per share, (each, a “Class A Warrant,” and, collectively, the “Class A Warrants”), at a public offering price of $0.449 per Unit, for aggregate gross proceeds to the Company of approximately $6 million, before deducting underwriting discounts and offering expenses payable by the Company. The Units, the Class A ordinary shares, par value $0.00001 per share, the Class A Warrants, and the shares underlying the Class A Warrants are collectively referred to herein as the “March 2026 Securities.” The Company also granted the underwriter an over-allotment option exercisable for up to forty-five (45) days after the date of the March 2026 Offering, which permits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Warrants have a one-year term, are immediately exercisable after issuance, and had an initial exercise price of $0449 per Class A ordinary share, par value $0.00001 per share. On the 2nd and 5th trading day following the closing of the March 2026 Offering, the exercise price of the Class A Warrants was reduced to 70% and 50% of the initial exercise price, or $0.3143 and $0.2245 per Class A ordinary share, par value $0.00001 per share, respectively. Upon each adjustment to the exercise price for the Class A Warrants, the number of issuable shares underlying the Class A Warrants were proportionally increased so that so that after such adjustment the aggregate exercise price of the Class A Warrants remained the same. The Class A Warrants also provide for a zero exercise price option, in which the holder will receive two (2) Class A Ordinary Shares that would be issuable upon a cash exercise of the Class A Warrant, without payment of additional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Securities were offered pursuant to the Company’s registration statement on Form F-1, as amended (File No. 333-294161), which was initially filed with the SEC on March 10, 2026 and declared effective by the SEC on March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Offering was conducted pursuant to an underwriting agreement, dated March 19, 2026, by and between the Company and Maxim Group LLC, as the sole book-running manager in connection with the March 2026 Offering. Underwriting discounts equaled 7% of the gross proceeds of the March 2026 Offering, and the Company also agreed to reimburse Maxim Group LLC for certain of its offering-related expenses in an amount not to exceed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Share Consolidation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announced on a report on Form 6-K plans to effectuate a consolidation of all of the Company’s authorized issued and unissued ordinary shares on a 10:1 basis to take effect at the commencement of trading on April 1, 2026. As a result, each 10 ordinary shares of a par value of US$0.00001 each were to be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Entry into Material Agreements with certain investors </w:t>
      </w:r>
      <w:r>
        <w:rPr>
          <w:rFonts w:ascii="Times New Roman;Times;Serif" w:hAnsi="Times New Roman;Times;Serif"/>
          <w:b/>
          <w:i w:val="false"/>
          <w:caps w:val="false"/>
          <w:smallCaps w:val="false"/>
          <w:sz w:val="20"/>
        </w:rPr>
        <w:t>(April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entered into subscription agreements (collectively, the “April 7, 2026 Subscription Agreements”) with seven purchasers. Pursuant to the April 7, 2026 Subscription Agreements, and in reliance on Regulation S, certain investors agreed to subscribe for and purchase from the Company, and the Company agreed to issue and sell to such investors, an aggregate of 2,900,000 Class A Ordinary Shares at a purchase price of $1.10 per share, for an aggregate purchase price of $3,190,000. The investors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the April 7, 2026 Subscription Agreements and the transactions contemplated thereby were approved by the Company’s board of directors on April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Entry into Material Agreements with certain investors </w:t>
      </w:r>
      <w:r>
        <w:rPr>
          <w:rFonts w:ascii="Times New Roman;Times;Serif" w:hAnsi="Times New Roman;Times;Serif"/>
          <w:b/>
          <w:i w:val="false"/>
          <w:caps w:val="false"/>
          <w:smallCaps w:val="false"/>
          <w:sz w:val="20"/>
        </w:rPr>
        <w:t>(April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certain subscription agreements (collectively, the “April 27, 2026 Subscription Agreements”) with ten purchasers. Pursuant to the April 27, 2026 Subscription Agreements, and in reliance on Regulation S, the purchasers agreed to subscribe for and purchase from the Company, and the Company agreed to issue and sell to the purchasers, an aggregate of 15,670,737 Class A Ordinary Shares at a purchase price of $1.64 per share, for an aggregate purchase price of $25.7 million. Each of the purchasers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the April 27, 2026 Subscription Agreements and the transactions contemplated thereby were approved by the Company’s board of directors on 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Our principal executive offices are located at 18/F, Building 3, Science and Technology Industrial Park, Yijiang District, Wuhu City, Anhui Province (</w:t>
      </w:r>
      <w:r>
        <w:rPr>
          <w:rFonts w:eastAsia="Times New Roman;Times;Serif"/>
          <w:b w:val="false"/>
          <w:i w:val="false"/>
          <w:caps w:val="false"/>
          <w:smallCaps w:val="false"/>
          <w:sz w:val="20"/>
        </w:rPr>
        <w:t>安徽省芜湖市弋江区科技产业园</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号楼</w:t>
      </w:r>
      <w:r>
        <w:rPr>
          <w:rFonts w:ascii="Times New Roman;Times;Serif" w:hAnsi="Times New Roman;Times;Serif"/>
          <w:b w:val="false"/>
          <w:i w:val="false"/>
          <w:caps w:val="false"/>
          <w:smallCaps w:val="false"/>
          <w:sz w:val="20"/>
        </w:rPr>
        <w:t>18</w:t>
      </w:r>
      <w:r>
        <w:rPr>
          <w:rFonts w:eastAsia="Times New Roman;Times;Serif"/>
          <w:b w:val="false"/>
          <w:i w:val="false"/>
          <w:caps w:val="false"/>
          <w:smallCaps w:val="false"/>
          <w:sz w:val="20"/>
        </w:rPr>
        <w:t>层</w:t>
      </w:r>
      <w:r>
        <w:rPr>
          <w:rFonts w:ascii="Times New Roman;Times;Serif" w:hAnsi="Times New Roman;Times;Serif"/>
          <w:b w:val="false"/>
          <w:i w:val="false"/>
          <w:caps w:val="false"/>
          <w:smallCaps w:val="false"/>
          <w:sz w:val="20"/>
        </w:rPr>
        <w:t>), People’s Republic of China. Our telephone number at this address is 00852-6859-3598. Our registered office in the Cayman Islands is located at the offices of Maples Corporate Services Limited at PO Box 309, Ugland House, Grand Cayman, KY-1104,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submit any inquiries to the address and telephone number of our principal executive offices. Our corporate website is http://www.upincar.com/. The information contained on our websites is not a part of this annual report. Our agent for service of process in the United States is located at 122 East 42nd St 18th Floor, New York, NY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our principal capital expenditures, see “Item 5. Operating and Financial Review and Prospects — B. Liquidity and Capital Resources —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vehicle sourcing service provider in China, with a vision to becoming an EV market player primarily focused on our proprietary battery-swapping technology, or UOTTA technology, which is an intelligent modular battery-swapping technology designed to provide a comprehensive battery power solution for EVs.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commencement of operations in 2013 through fiscal year 2022, we were principally engaged in the provision of vehicle sourcing services. We broker sales of vehicles between automobile wholesalers and buyers, including SME dealers and individual customers primarily located in the lower-tier cities in China, which are smaller and less developed than the tier-1 or tier-2 cities. To that end, we have focused on building business relationships with our sourcing partners and have developed a vehicle sourcing network. As of the date of this annual report, our vehicle sourcing network consisted of approximately 100 wholesalers and 30 SME dealers located in lower-tier cities in China. For fiscal years ended December 31, 2023, 2024 and 2025, our revenues from the sourcing business were RMB1.5 million, RMB0.1 million and RMB1.1 million, which constituted 7.7%, 0.1% and 2.7%, respectively, of our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2020, we gradually shifted our focus from the vehicle sourcing business to the development of our proprietary battery-swapping technology, or UOTTA technology. According to Frost &amp; Sullivan, the PRC government will focus on promoting the electrification of commercial vehicles in the next few years, and it is expected that the sales volume of electric commercial vehicles will grow from 218.9 thousand units in 2022 to 431.0 thousand units in 2026 at a compound annual growth rate (“CAGR”) of 18.5% in China, and with the increasing penetration rates of electric commercial vehicles and the expanding battery-swapping infrastructure network, the market size by revenue of battery swapping solutions for electric commercial vehicles is expected to increase from approximately RMB22,097.6 million in 2022 to RMB176,615.1 million in 2026, representing a CAGR of 68.1%. In order to capture the opportunities arising from such growth, our plan is to develop a comprehensive EV battery power solution based on UOTTA technology, which mainly consists of: (i) vehicle-mounted supervisory control units that monitor the real-time status of an EV’s battery packs; (ii) customized vehicle control units (“VCUs”), which upload real-time data of the electric vehicle, such as its battery status, real-time location and safety status, to our data platform, using Bluetooth and/or Wi-Fi technologies; (iii) our data management platform, which collects and synchronizes real-time information of the EVs uploaded by their respective VCUs, as well as information on the availability and locations of compatible UOTTA battery-swapping stations that assist drivers in locating the nearest compatible UOTTA battery-swapping station(s) available when the EV’s battery is determined to be lower than a certain level; and (iv) UOTTA battery-swapping stations designed for precise positioning, rapid disassembly, compact integration and flexible deployment of battery swapping for compatible EVs.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in-house capabilities in the innovation of EV battery-swapping technology. Through our research and development efforts, we are developing an intellectual property portfolio. As of the date of this annual report, we had 51 issued patents and 18 pending patent applications in China. Our research and development team is committed to technology innovation. As of the date of this annual report, our research and development team consisted of 25 personnel and is led by Mr. Rui Wang and Mr. Zhanduo Hao, each of whom has experience of over 20 years in the electric power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leveraging years of automobile industry experience, we started cooperating with major automobile manufactures to jointly develop UOTTA-powered EVs, by adapting selected EV models with our UOTTA technology. According to Frost &amp; Sullivan, compared with passenger EV drivers, drivers of commercial-use EVs experience more range anxiety and are more motivated to shorten, or even eliminate, time spent on recharging EVs, therefore, we intend to primarily focus on developing commercial-use UOTTA-powered EVs, such as ride-hailing passenger EVs, small logistics EVs, light electric trucks, and heavy electric trucks, and their compatible UOTTA battery-swapping stations. As of the date of this annual report, we have entered into cooperating agreements with two major Chinese automobile manufacturers, FAW Jiefang Qingdao Automotive Co., Ltd, and HUBEI TRI-RING Motor Co., Ltd, to jointly develop UOTTA-powered electric trucks. We also have engaged with one battery-swapping station manufacture to jointly develop and manufacture UOTTA battery-swapping stations that are compatible with UOTTA-powered EVs. Our UOTTA battery-swapping stations are designed for precise positioning, rapid disassembly, compact integration and flexible deployment, allowing battery replacement within several minutes. As of the date of this annual report, we realized sales of eleven battery-swapping stations. In August 2021, we completed the construction of our own battery-swapping station factory in Zibo City, Shandong Province (the “Zibo Factory”), which commenced manufacturing UOTTA battery-swapping stations in January 2022. In January 2022, we started operating a battery-swapping station, and in March 2023, we started operating a second battery-swapping station, both in Quanzhou City, Fujian Province, pursuant to our station cooperation agreement with Quanzhou Xinao. In order to provide a comprehensive battery power solution based on UOTTA technology, we are in the process of developing a data management platform that connects UOTTA-powered EVs and stations, and assists the UOTTA-powered EV drivers in locating the closest compatible UOTTA swapping-stations on their routes. We believe we have made significant progress in entering into the EV market as of the date of this annual report, however, there is no assurance that we will be able to execute our business plan to expand into the EV market as we have planned. For fiscal years ended December 31, 2023, 2024 and 2025, our revenues from the EV business were RMB17.1 million, RMB41.8 million, and RMB36.6 million, which constituted 86.3%, 94.5% and 89.1%, respectively, of our total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vehicle sourcing network in lower-tier cities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vehicle sourcing network primarily in the lower-tier cities in China, which allows us to distribute vehicles to our customers. We have a deep understanding of the vehicle dealership market and are able to provide services tailored to the changing needs of our consumers. We have built long-term relationships with our suppliers and SME dealer customers, who have a strong presence in the lower-tier cities. Through working directly with our suppliers and customers, we are able to better understand and timely address their needs, as well as provide targeted services to them. As of the date of this annual report, we worked with approximately 100 suppliers and 30 SME dealers in the lower-tier cities in China. We have also established strong working relationships with a number of vehicle wholesalers.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UOTTA Battery-swapping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UOTTA technology is an intelligent modular battery swapping technology designed to provide a comprehensive battery power solution for EVs. Through our cooperation with major automobile manufactures, we are in the process of adapting UOTTA technology to electric trucks. We believe our UOTTA technology has the potential of greatly alleviating range-anxiety, which, according to Frost &amp; Sullivan, has been one of the most critical challenges to EV adoption, particularly in the commercial-use EV market. Our UOTTA technology is designed to provide a comprehensive battery power solution that includes UOTTA-powered EVs and battery-swapping stations, as well as a data management platform that synchronizes real-time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cooperation with key partners, including major automakers and battery developers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major automotive manufacturers to jointly develop the UOTTA-powered EV models. As of the date of this annual report, key partners of our UOTTA battery power solution include major automobile manufacturers (FAW Jiefang Qingdao Automotive Co., Ltd and HUBEI TRI-RING Motor Co., Ltd), and battery developers and manufacturer (Ruipu Energy Co., Ltd). We expect that their expertise and industry know-how will guide us in our efforts to enter the EV market. We believe we are one of the few companies that are able to develop such relationships with these major manufacturers, due to our industry experience, research and development capabilities, and industry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Visionary and experienced management team with strong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led by a visionary management team with a unique “bottom up” strategy. Our founders and senior management team have in-depth expertise in the automotive and technology industries. The key members of our management team have an average of approximately 20 years of industry experience. Our founder and chairman, Mr. Jia Li, is a well-recognized leader in the Chinese automotive industry. He served as vice president of the finance group in SAIC Motor, one of the largest automobile manufacturers in China, before he founded our Company. Mr. Jia Li’s proven track record and extensive experience in the automobile industry provide strong leadership to our mission. Mr. Rui Wang, our senior vice president, has approximately 20-years of industry experience in automobile engineering and design, working at several leading automobile manufacturers, such as FAW Group, Isuzu Auto, Toyota and IAT Auto. Mr. Zhanduo Hao, our senior engineer, is committed to the research of key electric vehicle charging and battery-swapping technologies and has substantial industry experience, having previously participated in the formulation of national and industry standards related to power swapping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Jointly Develop UOTTA-powered EVs with major auto manufacturers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UOTTA technology is in the process of being adapted to electric vehicles by cooperating with major auto manufacturers in China. We intend to further explore collaboration opportunities with additional auto manufacturers who have leading technologies and sufficient capacities.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 and manufacture battery-swapping stations for UOTTA-powered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launched two models of UOTTA battery-swapping stations, “Titan” and “Chipbox”, by cooperating with battery-swapping station manufacturers in China. In August 2021, we completed the construction of our Zibo Factory, which commenced manufacturing UOTTA battery-swapping stations in January 2022. The Zibo Factory is located in Zibo City, Shandong Province, with approximately 15,430 square meters of production area. In May 2023, we cancelled our plan to build another factory in Wuhu City because our current production demand can be adequately served by our Zibo Factory. In February 2024, we entered into a share exchange agreement to acquire 26.25% equity shares of MATSON (HONG KONG) INDUSTRY CO., LIMITED, which is a Hong Kong limited liability company engaged in the development of EV battery-swapping technology. Our plan is to promote and expand our products into the Hong Kong market, and such acquisition was in furtherance of this goal.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Enhance our research and development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drives our business. We plan to focus on technology innovations to continue developing and upgrading our proprietary UOTTA technology. We expect to further strengthen the collaboration between our research and development team and marketing team to accumulate and transform insights gained from practical experience into research and development capabilities. In addition, we are determined to strengthen our research and development capabilities by proactively recruiting and retaining engineering talents, in order to expand our talent pool and help us drive technological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promote and market our UOTTA-powered EVs and battery-swapping stations, we plan to (i) leverage our existing sourcing networks to market our new products; and (ii) explore new sales channels by cooperating with new strategic partners who possess their own sales networks, as well as enhancing the capabilities of our in-house sales team by recruiting qualified sales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960" w:right="0" w:hanging="48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8"/>
        <w:gridCol w:w="200"/>
        <w:gridCol w:w="16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Sourcing Business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2025, 2024, and 2023, we generated revenues of RMB1.1 million, RMB0.1 million and RMB1.5 million, constituting 2.7%, 0.1% and 7.7% of our total revenue, respectively, from the sourcing business.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commencement of operations in 2013 through fiscal year 2022, we were primarily engaged in the provision of vehicle sourcing services and developed a sourcing network in the lower-tier cities in China by building relationships with our sourcing partners, including automobile wholesalers on the supply side and SME dealers and individual customers on the demand side. We charge a commission that is calculated based on the purchase price of each purchase order and the commission is recognized upon delivery of vehicles to customers. For fiscal years ended December 31, 2025, 2024 and 2023, revenues generated from provision of vehicle sourcing services were RMB1.1 million, RMB0.1 million, RMB1.5 million, constituting 2.7%, 0.1%, and 7.7% of our total revenue, respectively. We aim to continue expanding our sourcing network, in an effort to provide our customers with a means by which they may acquire vehicles at a reasonable price point. As of the date of this annual report, our sourcing network was comprised of approximately 30 SME dealers and 100 wholesalers.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customarily source whole vehicles that are completed with vehicle bodies and batteries, some of our vehicle sourcing customers demanded to purchase certain EV model vehicle bodies without batteries. The automobile wholesaler who sells this certain EV model, however, only sells the whole EV, including both body and battery. In order to address the needs of these customers, we purchased these EVs from the wholesaler, delivered the EV bodies to the vehicle sourcing customers, and entered into a battery sales agreement with another buyer to sell these batteries separately. As of the date of this annual report, we have only made one transaction of battery sales and plan to provide the service on a case by case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68"/>
        <w:gridCol w:w="200"/>
        <w:gridCol w:w="11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EV Business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2025, 2024 and 2023, we generated revenues of RMB36.6 million, RMB41.8 million and RMB17.1 million, constituting 89.1%, 94.5% and 86.3% of our total revenue, respectively, from our EV business, as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UOTTA-powered EVs</w:t>
      </w:r>
      <w:r>
        <w:rPr>
          <w:rFonts w:ascii="Times New Roman;Times;Serif" w:hAnsi="Times New Roman;Times;Serif"/>
          <w:b w:val="false"/>
          <w:i w:val="false"/>
          <w:caps w:val="false"/>
          <w:smallCaps w:val="false"/>
          <w:sz w:val="20"/>
        </w:rPr>
        <w:t>: The UOTTA-powered EVs are being jointly developed in cooperation with major automobile manufacturers in China, utilizing our proprietary UOTTA technology that enables efficient battery-swapping for EVs. We intend to primarily focus on commercial-use EVs in the near future. As of the date of the annual report, we have entered into cooperating agreements with two major auto manufactures to jointly develop UOTTA-powered EVs by adapting commercial-use electric vehicles with UOTTA technology. For the fiscal years ended December 31, 2025, 2024 and 2023, we did not generate any revenue from sales of UOTTA-powered EVs.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UOTTA Battery-swapping Stations</w:t>
      </w:r>
      <w:r>
        <w:rPr>
          <w:rFonts w:ascii="Times New Roman;Times;Serif" w:hAnsi="Times New Roman;Times;Serif"/>
          <w:b w:val="false"/>
          <w:i w:val="false"/>
          <w:caps w:val="false"/>
          <w:smallCaps w:val="false"/>
          <w:sz w:val="20"/>
        </w:rPr>
        <w:t>: Our UOTTA battery-swapping station currently has two models: (i) the Titan model, which is intended for electric heavy trucks; and (ii) the Chipbox model, which is intended for ride-hailing passenger EVs, light electric trucks, and small logistics vehicles. Both models are developed based on our UOTTA technology. In fiscal year 2025, we realized sales of nine stations in Jilin province, China, one station in Hong Kong, and two stations in Thailand. In fiscal year 2024, we realized sales of twelve stations in Jilin City, Jilin Province,and one station in Songyuan City, Jinlin Province. In fiscal year 2023, we realized sales of five stations in Quanzhou City, Fujian Province, and one station in Huzhou City, Zhejiang Province.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Battery-swapping Station Operations</w:t>
      </w:r>
      <w:r>
        <w:rPr>
          <w:rFonts w:ascii="Times New Roman;Times;Serif" w:hAnsi="Times New Roman;Times;Serif"/>
          <w:b w:val="false"/>
          <w:i w:val="false"/>
          <w:caps w:val="false"/>
          <w:smallCaps w:val="false"/>
          <w:sz w:val="20"/>
        </w:rPr>
        <w:t>: In January 2022, we started operating a battery-swapping station in Quanzhou City, Fujian Province, pursuant to our station cooperation agreement with Quanzhou Xinao, a local gas station operator. In March 2023, we started operating a second battery-swapping station pursuant to the same agreement. For the fiscal years ended December 31, 2025, 2024 and 2023, we generated revenue from battery-swapping services in the amount of RMB3.4 million, RMB2.4 million and RMB1.2 million, which revenue included a battery swapping services fee and the station control system upgrading service, constituting 8.3%, 5.4% and 6% of our total revenue,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Vehicle Sourcing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source vehicles from wholesalers to fulfill demands for vehicles of our customers, including SME dealers and individual customers primarily located in lower-tier cities in China. We charge a commission that is calculated based on the purchase price of each purchase order and such agent commission is recognized upon delivery of vehicles to customers. Customers are required to make full payment for the total selling price before we deliver the purchased vehicles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further expand our sourcing network through marketing efforts by our sales team, such as targeted promotions via social media platforms and in-person meetings. We plan to leverage our existing sourcing network to market and promote our UOTTA-powered EVs and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gross merchandise volume (“GMV”) and car units sourced and delivered to our customers by customer type for the fiscal years ended December 31, 2025, 2024 and 2023. For the fiscal year ended December 31, 2025, we sold cars to our SME customers with lower unit price, which led to lower GMV with the increase numbers of units.</w:t>
      </w:r>
    </w:p>
    <w:p>
      <w:pPr>
        <w:pStyle w:val="TextBody"/>
        <w:bidi w:val="0"/>
        <w:spacing w:before="0" w:after="0"/>
        <w:ind w:left="0" w:right="0" w:hanging="0"/>
        <w:jc w:val="both"/>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2195"/>
        <w:gridCol w:w="90"/>
        <w:gridCol w:w="90"/>
        <w:gridCol w:w="830"/>
        <w:gridCol w:w="90"/>
        <w:gridCol w:w="90"/>
        <w:gridCol w:w="139"/>
        <w:gridCol w:w="451"/>
        <w:gridCol w:w="90"/>
        <w:gridCol w:w="90"/>
        <w:gridCol w:w="90"/>
        <w:gridCol w:w="830"/>
        <w:gridCol w:w="90"/>
        <w:gridCol w:w="90"/>
        <w:gridCol w:w="106"/>
        <w:gridCol w:w="484"/>
        <w:gridCol w:w="90"/>
        <w:gridCol w:w="90"/>
        <w:gridCol w:w="90"/>
        <w:gridCol w:w="1010"/>
        <w:gridCol w:w="90"/>
        <w:gridCol w:w="90"/>
        <w:gridCol w:w="139"/>
        <w:gridCol w:w="451"/>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1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GMV</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GMV</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GMV</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Units</w:t>
            </w:r>
          </w:p>
        </w:tc>
        <w:tc>
          <w:tcPr>
            <w:tcW w:w="13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eastAsia="MS Gothic;Helvetica;Sans-Serif"/>
              </w:rPr>
            </w:pPr>
            <w:r>
              <w:rPr>
                <w:rFonts w:eastAsia="MS Gothic;Helvetica;Sans-Serif"/>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rFonts w:eastAsia="MS Gothic;Helvetica;Sans-Serif"/>
              </w:rPr>
            </w:pPr>
            <w:r>
              <w:rPr>
                <w:rFonts w:eastAsia="MS Gothic;Helvetica;Sans-Serif"/>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rFonts w:eastAsia="MS Gothic;Helvetica;Sans-Serif"/>
              </w:rPr>
            </w:pPr>
            <w:r>
              <w:rPr>
                <w:rFonts w:eastAsia="MS Gothic;Helvetica;Sans-Serif"/>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rFonts w:eastAsia="MS Gothic;Helvetica;Sans-Serif"/>
              </w:rPr>
            </w:pPr>
            <w:r>
              <w:rPr>
                <w:rFonts w:eastAsia="MS Gothic;Helvetica;Sans-Serif"/>
              </w:rPr>
              <w:t>　</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SME dealer customers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836,244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302,712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1,452,684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22</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Individual customers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451"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451"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836,244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302,712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1,452,684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customarily source whole vehicles completed with vehicle bodies and batteries, some of our vehicle sourcing customers demanded to only purchase certain EV’s vehicle bodies without their batteries. The automobile wholesaler, Wuhan Dongjun Automobile Sales Service Co., Ltd., which sells this EV, however, only sells the whole EV, including both the body and battery. In order to address the needs of our vehicle sourcing customers, on May 17, 2022, we entered into a purchase agreement with Wuhan Dongjun Automobile Sales Service Co., Ltd., to purchase a certain number of the whole EVs, but delivered and charged for only the vehicle bodies (without the batteries) to our vehicle sourcing customers. Subsequently, on June 27, 2022, we entered into a sales agreement with Quanzhou Shengyue New Energy Technology Co., Ltd., to sell the batteries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Vehicle Sourcing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sourcing services to SME dealers and individual customers primarily located in lower-tier cities in the PRC. Our relationships with our customers are mainly established through prior business dealings and referrals of our existing customers. For fiscal year 2025, we had [two] customers, both of which, [two] were SME dealers and there were no individual customers. For fiscal year 2024, we had 4 customers, all 4 of which were SME dealers and there were no individual customers. For fiscal year 2023, we had 2 customers, among which, two were SME dealers and no individual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customers accounted for more than 10% of our total sourcing revenues in the fiscal year 2025. Four customers accounted for more than 10% of our total sourcing revenues in the fiscal year 2024. Four customers accounted for more than 10% of our total sourcing revenues in the fiscal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Vehicle Sourcing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source cars from vehicle wholesalers. Occasionally we also source cars directly from auto manufacturers. For the fiscal years ended December 31, 2025, 2024 and 2023, we sourced cars from 3, nil and 2 suppliers, respectively. One supplier accounted for more than 10% of our total sourcing amount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enter into long-term supplier agreements with our sourcing suppliers. The relationships with our suppliers are established through our history of long-term cooperation. The members of our core management team have years of experience in the automotive industry and have established extensive and in-depth contacts with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EV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UOTTA-powered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the research and development, and promotion and sales of our UOTTA-powered EVs. As of the date of this annual report, we have entered into cooperating agreements to jointly develop UOTTA-powered EVs with two major automobile manufactures by adapting selected EV models with our UOTTA technology. Depending on the manufacturer, the terms of these agreements are either two or five years. Each UOTTA-powered EV model is designed to meet all safety and technical requirements specified by the safety and operational standards mandated by the Ministry of Industry and Information Technology of the PRC (“MIIT”). Prior to sale to the public, each UOTTA-powered EV model must have been certified by authorities designated by the Accreditation Administration Committee as qualified products and granted certification marks, as well as pass inspections conducted by a state-recognized testing institution, and obtain approvals from the MITT. As of the date of this annual report, HUBEI TRI-RING Motor Co., Ltd. has received approvals from the MITT on two UOTTA-powered electric truck models adapted with our UOTTA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Salient terms of the agreements with our cooperating automobile manufacturers in relation to the development, manufacturing and sales of the UOTTA-powered EVs are as follows: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automobile manufacturer will select, from its existing product pipeline, car model(s) that are suitable to be transformed into UOTTA-powered EV(s). The automobile manufacturer shall also manufacture, promote and distribute the UOTTA-powered EVs.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provide battery-swapping technology solutions that transform the selected EV model into a UOTTA-powered EV that allows battery-swapping at our UOTTA battery-swapping stations. We shall also promote and distribute the UOTTA-powered EVs.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develop, manufacture, and construct compatible battery-swapping stations for the jointly-developed UOTTA-powered EVs, and provide customer services for users of the UOTTA battery-swapping services at the stations.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some cases, we will provide financing plans and solutions to support the joint development, promotion, and sales of the UOTTA-powered EVs and battery-swapping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68"/>
        <w:gridCol w:w="200"/>
        <w:gridCol w:w="7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assist the manufacturer in obtaining MIIT approvals for UOTTA-powered EV models.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started to sell two-wheeled UOTTA-powered EVs. We source the vehicles from Wuxi Aide Electric Technology Co., Ltd. and Jielin New Energy Vehicle Industry Wuxi Co., Ltd. We have engaged two dealers, Yuncheng Xinfengfei Trading Co., Ltd (“Xinfengfei”) and Wuhu Huanyu Automobile Co., Ltd, as regional dealers for our EV products. For the fiscal year ended December 31, 2025, we have sold 61 EVs to Treep Mobility Group S.A.C. and generated revenue of RMB 4446,905 from such sales and sold 21 EVs to Sumitomo Mitsui and generated revenue of RMB326,906 from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UOTTA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Drivers of UOTTA-powered EVs can replace depleted batteries for ones that are fully charged at compatible UOTTA battery-swapping stations. Currently, due to the yet to be resolved issue of battery standardization, UOTTA battery-swapping stations can only service certain compatible EV models. The Titan model of UOTTA battery-swapping station is designed to service electric heavy trucks, while the Chipbox model is designed to service electric light trucks, logistics vehicles, ride-hailing passenger cars and taxis. For further details, see “Item 3. Key Information — D. Risk Factors —Risk Factors — Risks Relating to the Development and Sales of UOTTA-powered EVs and Battery-Swapping Stations — We may encounter difficulty promoting and marketing UOTTA-powered EVs and battery-swapping stations because of the lack of unified industry standards on EV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typical size of a Titan station is approximately 6 to 8 parking spaces, or 60 square meters. The typical size of a Chipbox station is approximately 8-10 parking spaces, or 90 square meters. UOTTA battery-swapping stations are capable of automated operations. Once a vehicle is parked in the station and the driver activates the swap function, battery-swapping will take place automatically. Our UOTTA battery-swapping stations are jointly-developed with our cooperating battery-swapping station manufacturers using advanced modular replacement technology, capable of battery-swapping services of compatible EVs within a few minutes.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prices of the Titan model range from RMB2,500,000 to 3,500,000 per unit, and the base price of the Chipbox model ranges from RMB2,200,000 to 3,000,000 per unit. The prices include assembling and installing of the stations, but exclude the construction or infrastructure costs of the physical battery-swapping station. The expected useful-life of the stations is approximately 10 to 15 years. To purchase a UOTTA battery-swapping station, a customer is required to make a non-refundable deposit in the amount of approximately 40% of the full price. The prospective buyers/operators of our battery-swapping stations are the existing oil/gas station owners/operators and transportation business owners such as ride-hailing service providers and logistics companies. In an effort to promote the adoption of our battery-swapping stations, we have generally adopted the following forms of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Battery-swapping station operation agreement (“Station Operation Agreement”). </w:t>
            </w:r>
            <w:r>
              <w:rPr>
                <w:rFonts w:ascii="Times New Roman;Times;Serif" w:hAnsi="Times New Roman;Times;Serif"/>
                <w:sz w:val="20"/>
              </w:rPr>
              <w:t>Pursuant to the Station Operation Agreement, the prospective station owners shall purchase one or more battery-swapping stations and install the stations at premises owned or leased by them. For those prospective station owners who operate stations by themselves, we will provide training and supervision on the operation of the stations for a period of not more than two months; for those who choose to entrust us to operate their stations, we will operate the stations for a pre-determined monthly fee for a term of 5 years.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Battery-swapping station operation agreement (“Station Cooperation Agreement”).</w:t>
            </w:r>
            <w:r>
              <w:rPr>
                <w:rFonts w:ascii="Times New Roman;Times;Serif" w:hAnsi="Times New Roman;Times;Serif"/>
                <w:sz w:val="20"/>
              </w:rPr>
              <w:t> Pursuant to the Station Cooperation Agreements, we shall invest in, build and operate a pre-determined number of battery-swapping stations at locations as selected and prepared by our customers for a pre-determined length of time, generally for 8 years. The customer may elect to purchase the battery-swapping stations at pre-determined prices during this period. In the event that the customer does not exercise its right to purchase the battery-swapping stations, we will continue to own and operate the battery swapping stations, and shall lease the premises of the battery-swapping stations from the customer at pre-determined rates after 180 days of operation.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Battery-swapping station sales agreement (“Station Sales Agreement”).</w:t>
            </w:r>
            <w:r>
              <w:rPr>
                <w:rFonts w:ascii="Times New Roman;Times;Serif" w:hAnsi="Times New Roman;Times;Serif"/>
                <w:sz w:val="20"/>
              </w:rPr>
              <w:t xml:space="preserve"> Pursuant to the Station Sales Agreement, we are responsible for supply and delivery of battery-swapping stations to the prospective buyers, who will be responsible for the construction and operation of the battery-swapping stations.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2025, we sold and delivered 12 stations to five customers pursuant to the Station Sales Agreements. In fiscal year 2024, we sold and delivered 12 stations to two customers, pursuant to the Station Sales Agreements. In fiscal year 2023, we sold and delivered six stations to four customers, pursuant to the Station Sales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entered into one Station Cooperation Agreement with one customer, Quanzhou Xinao, to invest in, build and operate four battery-swapping stations in Quanzhou City, Fujian Province. Pursuant to which agreement, we are currently operating two stations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January 2022, we completed the construction of one station and started operating the station. After 180 days of operation, Quanzhou Xinao chose not to purchase the station from us, and subsequently we entered into a lease agreement with Quanzhou Xinao to lease the premises of the battery-swapping station for a period of eight years, from July 16, 2022 to July 15, 2030, during which time we will continue to own and operate this station, unless Quanzhou Xinao exercises its right to purchase the station, from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March 2023, we completed the construction and commenced operation of a second station We entered into a lease agreement with Quanzhou Xinao to lease the premises of the battery-swapping station for a period of eight years, beginning from January 16, 2023, during which time we will continue to own and operate this station, unless Quanzhou Xinao exercises its right to purchase the station, from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UOTTA Data Management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comprehensive battery power solution, our self-developed UOTTA data management platform collects and synchronizes real-time information, including battery power voltage and remaining cruising range of the UOTTA-powered EVs, uploaded by their respective VCUs, as well as information on the availability and locations of compatible UOTTA battery-swapping stations. The UOTTA data management platform then provides information to assist a driver in locating the nearest compatible UOTTA battery-swapping station(s) available when the EV’s battery is determined to be lower than a certain level. As of the date of this annual report, we have substantially completed the development of the main functionalities of the data management platform, and are in the process of developing ancillary programs and applications that assist with the day-to-day operations of the UOTTA battery-swapping stations and user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(R&amp;D)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engineering research and development headquarters is in Shanghai, where we have a team of 25 research and development personnel. For the fiscal years ended December 31, 2025, 2024 and 2023, our R&amp;D expenses were RMB4.6 million, RMB3.0 million and RMB2.2 million, which accounted for 11.2%, 6.7% and 11.1% of our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Vehicle Engineering. </w:t>
      </w:r>
      <w:r>
        <w:rPr>
          <w:rFonts w:ascii="Times New Roman;Times;Serif" w:hAnsi="Times New Roman;Times;Serif"/>
          <w:b w:val="false"/>
          <w:i w:val="false"/>
          <w:caps w:val="false"/>
          <w:smallCaps w:val="false"/>
          <w:sz w:val="20"/>
        </w:rPr>
        <w:t>We have in-house vehicle engineering capabilities which cover all areas of vehicle engineering, starting from concept to completion. Our vehicle engineering group consists of 6 personnel. Our vehicle engineering team is located at our Shanghai headquarters, which location was selected due to its status as a global automotive hub, providing us with valuable exposure to a significant talent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Battery-swapping Stations. </w:t>
      </w:r>
      <w:r>
        <w:rPr>
          <w:rFonts w:ascii="Times New Roman;Times;Serif" w:hAnsi="Times New Roman;Times;Serif"/>
          <w:b w:val="false"/>
          <w:i w:val="false"/>
          <w:caps w:val="false"/>
          <w:smallCaps w:val="false"/>
          <w:sz w:val="20"/>
        </w:rPr>
        <w:t>We have in-house battery-swapping station design and engineering capabilities, which cover all areas of battery-swapping station design and engineering starting from layout design to operational platform design. Our battery-swapping station engineering group consists of 5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Data management platform. </w:t>
      </w:r>
      <w:r>
        <w:rPr>
          <w:rFonts w:ascii="Times New Roman;Times;Serif" w:hAnsi="Times New Roman;Times;Serif"/>
          <w:b w:val="false"/>
          <w:i w:val="false"/>
          <w:caps w:val="false"/>
          <w:smallCaps w:val="false"/>
          <w:sz w:val="20"/>
        </w:rPr>
        <w:t>We have in-house data management platform design and development capabilities, which cover all areas of online vehicle and user management system and power exchange service order management system. Our data management platform development group consists of 14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and Warranty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Servicing. </w:t>
      </w:r>
      <w:r>
        <w:rPr>
          <w:rFonts w:ascii="Times New Roman;Times;Serif" w:hAnsi="Times New Roman;Times;Serif"/>
          <w:b w:val="false"/>
          <w:i w:val="false"/>
          <w:caps w:val="false"/>
          <w:smallCaps w:val="false"/>
          <w:sz w:val="20"/>
        </w:rPr>
        <w:t>We provide servicing in relation to the UOTTA-powered battery-swapping stations primarily through our in-house after-sales team, which provides training, repair and maintenance services. We plan to form a service management team, which will be responsible for supervising and management of our after-sales team. Our team will select the location of our service centers primary based on the following criteria: (i) UOTTA-powered EVs and battery-swapping stations density (ii) the number of authorized dealers or service providers of our cooperating auto manufacturers; (iii) labor and operational costs. We established UOTTA authorized service centers in 12 cities in eight provinces as of this annual report. Servicing in relation to the UOTTA-powered EVs will be primarily provided by our cooperating auto manufacturers through certain authorized dealers or service providers, which provide repair and maintenance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Limited Warranty Policy. </w:t>
      </w:r>
      <w:r>
        <w:rPr>
          <w:rFonts w:ascii="Times New Roman;Times;Serif" w:hAnsi="Times New Roman;Times;Serif"/>
          <w:b w:val="false"/>
          <w:i w:val="false"/>
          <w:caps w:val="false"/>
          <w:smallCaps w:val="false"/>
          <w:sz w:val="20"/>
        </w:rPr>
        <w:t>For UOTTA battery-swapping stations, we provide a limited one-year warranty, subject to certain conditions. Warranties for parts and components are provided by our suppliers. In addition, after our one-year warranty expires, we will provide life-time maintenance service for UOTTA battery-swapping stations and only charge the owners costs for replacement parts and components. For UOTTA-powered EVs, our cooperation automobile manufactures will provide a limited warranty, subject to certain conditions and requirements of the relevant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 Supply Chain and Quality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manufacturers and suppliers we work with as key partners through our vehicle and battery-swapping station development process. We aim to leverage our partners’ industry expertise to ensure that our products meet strict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of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entered into cooperation agreements with two battery-swapping station manufacturers for the joint development and manufacturing of UOTTA battery-swapping stations. The manufacturing process in our own factory is mainly assembly of parts and components procured from our cooperating battery-swapping station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Zibo Battery-swapping Station Factory (“Zibo Factory”). </w:t>
      </w:r>
      <w:r>
        <w:rPr>
          <w:rFonts w:ascii="Times New Roman;Times;Serif" w:hAnsi="Times New Roman;Times;Serif"/>
          <w:b w:val="false"/>
          <w:i w:val="false"/>
          <w:caps w:val="false"/>
          <w:smallCaps w:val="false"/>
          <w:sz w:val="20"/>
        </w:rPr>
        <w:t>We completed the construction of our Zibo Factory in August 2021 and commenced production of UOTTA battery-swapping stations in January 2022. The Zibo Factory is located in Zibo City, Shandong Province, with approximately 15,430 square meters of production. The lease for the Zibo Factory is 5 years from April 2022. We also lease the equipment at the Zibo Factory. The full production capacity of the Zibo Factory is anticipated to range from 180 to 250 units per year. In May 2023, we cancelled our plan to construct another factory in the Wuhu City, because our current production demand can be well served by our Zibo Factory.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Battery-swapping Station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supply base is located in China, which we believe is beneficial, as it enables us to acquire supplies more quickly and reduces the risk of delays related to shipping and importing of parts and components required for the manufacturing of UOTTA battery-swapping stations. We expect that as our scale increases, such access to our supply base will enable us to take advantage of economies of scale with respect to pricing. We obtain components, parts, manufacturing equipment and other supplies and services from suppliers which we believe to be reputable and reliable. We follow our internal process to source suppliers, taking into account quality, cost and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method for sourcing suppliers depends on the nature of the supplies needed. For general parts which are widely available, we seek proposals from multiple suppliers and choose those mainly based on quality and price competitiveness. For parts requiring special designs, we solicit design proposals and choose suppliers largely based on design-related factors. However, in certain cases we have limited choices, given our scale. In such circumstances, we typically partner with suppliers that we believe to be well-positioned to meet our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directly procure raw materials used in the manufacturing of our UOTTA battery-swapping stations; we only procure parts and components from our suppliers. We enter into purchase agreements with key suppliers. The agreements with our suppliers allow us to purchase parts and components on a per purchase order basis. The main parts and components include containers, charging cabinets, station control software and hardware. Furthermore, prices for the parts and components fluctuate, depending on various market conditions and price of the raw materials, such as steel, aluminum, copper, rubber, that are used by our suppliers to manufacture such parts and components. The prices for raw materials are subject to market forces largely beyond our control, including energy costs, market demand, economy trend, and freight costs. See “Item 3. Key Information — D. Risk Factors — Risk Factors — Risks Relating to the Development and Sales of UOTTA-powered EVs and Battery-Swapping Stations — We could experience cost increases or disruptions in supply of raw materials or other components used in the manufacturing of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Quality Assurance.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deliver high-quality products and services to our customers in line with our core values and commitments. We believe that our quality assurance systems are the key to ensuring the delivery of high-quality products and services. We also seek to minimize waste and to maximize efficiency of our manufacturing process. We emphasize quality management across all business functions, including product development, manufacturing, supplier selection, procurement, servicing and logistics. Our quality management team consists of five members who are responsible for our overall quality strategy, quality systems and processes, and general quality management implementation.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both the vehicle sourcing and EV battery swapping markets in the PRC, and competitions in both markets are intense and fast evolving. According to Frost &amp; Sullivan, China’s current vehicle sales market is highly concentrated and consists of traditional car companies, internet technology companies, and new energy car companies. Battery-swapping operators can be categorized into EV manufacturers and independent battery-swapping operators. The EV manufacturers mainly serve their own battery-swapping electric vehicle models, while the independent battery-swapping operators offer services to various cooperated EV manufacturers. With the development of battery-swapping technology and the growing battery-swapping infrastructure and supportive government policies, it is expected that more market players will enter the battery-swapping market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heavily in the areas of battery-swapping solution R&amp;D and developed our proprietary UOTTA technology. As a result, our success depends, in part, on our ability to protect our technology and intellectual property. To accomplish this, we rely on a combination of patents, patent applications, trade secrets, including employee and third-party nondisclosure agreements, copyright laws, trademarks, and other contractual rights to establish and protect our proprietary rights in our intellectual property. As of the date of this annual report, we had 51 issued patents and 18 pending patent applications, 14 registered trademarks and six pending trademark applications in China, and we also held or otherwise had the legal right to use four registered software copyrights and four registered artwork copyrights. Set forth below is a detailed description of our registered patents: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5"/>
        <w:gridCol w:w="90"/>
        <w:gridCol w:w="2033"/>
        <w:gridCol w:w="90"/>
        <w:gridCol w:w="2336"/>
        <w:gridCol w:w="90"/>
        <w:gridCol w:w="1208"/>
        <w:gridCol w:w="90"/>
        <w:gridCol w:w="1085"/>
        <w:gridCol w:w="90"/>
        <w:gridCol w:w="891"/>
        <w:gridCol w:w="90"/>
        <w:gridCol w:w="1177"/>
      </w:tblGrid>
      <w:tr>
        <w:trPr/>
        <w:tc>
          <w:tcPr>
            <w:tcW w:w="93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Country</w:t>
            </w:r>
          </w:p>
        </w:tc>
        <w:tc>
          <w:tcPr>
            <w:tcW w:w="90" w:type="dxa"/>
            <w:tcBorders/>
            <w:tcMar>
              <w:bottom w:w="0" w:type="dxa"/>
            </w:tcMar>
            <w:vAlign w:val="center"/>
          </w:tcPr>
          <w:p>
            <w:pPr>
              <w:pStyle w:val="TableContents"/>
              <w:bidi w:val="0"/>
              <w:spacing w:before="0" w:after="283"/>
              <w:jc w:val="left"/>
              <w:rPr/>
            </w:pPr>
            <w:r>
              <w:rPr/>
              <w:t> </w:t>
            </w:r>
          </w:p>
        </w:tc>
        <w:tc>
          <w:tcPr>
            <w:tcW w:w="2033"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w:t>
            </w:r>
          </w:p>
        </w:tc>
        <w:tc>
          <w:tcPr>
            <w:tcW w:w="90" w:type="dxa"/>
            <w:tcBorders/>
            <w:tcMar>
              <w:bottom w:w="0" w:type="dxa"/>
            </w:tcMar>
            <w:vAlign w:val="center"/>
          </w:tcPr>
          <w:p>
            <w:pPr>
              <w:pStyle w:val="TableContents"/>
              <w:bidi w:val="0"/>
              <w:spacing w:before="0" w:after="283"/>
              <w:jc w:val="left"/>
              <w:rPr/>
            </w:pPr>
            <w:r>
              <w:rPr/>
              <w:t> </w:t>
            </w:r>
          </w:p>
        </w:tc>
        <w:tc>
          <w:tcPr>
            <w:tcW w:w="2336"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Name</w:t>
            </w:r>
          </w:p>
        </w:tc>
        <w:tc>
          <w:tcPr>
            <w:tcW w:w="90" w:type="dxa"/>
            <w:tcBorders/>
            <w:tcMar>
              <w:bottom w:w="0" w:type="dxa"/>
            </w:tcMar>
            <w:vAlign w:val="center"/>
          </w:tcPr>
          <w:p>
            <w:pPr>
              <w:pStyle w:val="TableContents"/>
              <w:bidi w:val="0"/>
              <w:spacing w:before="0" w:after="283"/>
              <w:jc w:val="left"/>
              <w:rPr/>
            </w:pPr>
            <w:r>
              <w:rPr/>
              <w:t> </w:t>
            </w:r>
          </w:p>
        </w:tc>
        <w:tc>
          <w:tcPr>
            <w:tcW w:w="1208"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Patent </w:t>
              <w:br/>
              <w:t xml:space="preserve">Publication </w:t>
              <w:br/>
              <w:t>Date</w:t>
            </w:r>
          </w:p>
        </w:tc>
        <w:tc>
          <w:tcPr>
            <w:tcW w:w="9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Type</w:t>
            </w:r>
          </w:p>
        </w:tc>
        <w:tc>
          <w:tcPr>
            <w:tcW w:w="90" w:type="dxa"/>
            <w:tcBorders/>
            <w:tcMar>
              <w:bottom w:w="0" w:type="dxa"/>
            </w:tcMar>
            <w:vAlign w:val="center"/>
          </w:tcPr>
          <w:p>
            <w:pPr>
              <w:pStyle w:val="TableContents"/>
              <w:bidi w:val="0"/>
              <w:spacing w:before="0" w:after="283"/>
              <w:jc w:val="left"/>
              <w:rPr/>
            </w:pPr>
            <w:r>
              <w:rPr/>
              <w:t> </w:t>
            </w:r>
          </w:p>
        </w:tc>
        <w:tc>
          <w:tcPr>
            <w:tcW w:w="891"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Patent </w:t>
              <w:br/>
              <w:t xml:space="preserve">Validity </w:t>
              <w:br/>
              <w:t>Period</w:t>
            </w:r>
          </w:p>
        </w:tc>
        <w:tc>
          <w:tcPr>
            <w:tcW w:w="90" w:type="dxa"/>
            <w:tcBorders/>
            <w:tcMar>
              <w:bottom w:w="0" w:type="dxa"/>
            </w:tcMar>
            <w:vAlign w:val="center"/>
          </w:tcPr>
          <w:p>
            <w:pPr>
              <w:pStyle w:val="TableContents"/>
              <w:bidi w:val="0"/>
              <w:spacing w:before="0" w:after="283"/>
              <w:jc w:val="left"/>
              <w:rPr/>
            </w:pPr>
            <w:r>
              <w:rPr/>
              <w:t> </w:t>
            </w:r>
          </w:p>
        </w:tc>
        <w:tc>
          <w:tcPr>
            <w:tcW w:w="1177"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Patent </w:t>
              <w:br/>
              <w:t>Status</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CN202122540404.8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Floating Lock Nut Device for Electric Vehicle Swappable Battery Pack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2022-04-12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CN202121845193.2</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Battery Pack Self-Locking Device for Electric Vehicles</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2022-04-12</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CN202121781707.2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Rooting Device for Electric Vehicle Battery Pack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2022-01-28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CN202121731681.0</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Electric Vehicle Battery Pack Capable of Voltage Switching</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2022-01-28</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CN202121147208.8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 New Energy Heavy Truck Battery-Swapping Unit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2022-01-18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CN201921036843.1</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 Temporary Storefront with Diverse Application Scenarios</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2020-06-09</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CN202121688515.7</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Locking and Unlocking Device of Swappable Battery Pack for Electric Vehicles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2022-01-11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CN202121686004.1</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Swappable Battery Pack Locking Device</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2022-01-28</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CN202121686020.0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Battery Pack Locking Device for Electric Vehicles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2022-01-11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CN202121096648.5</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 Unmanned Vehicle Battery-Swapping Unit</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2022-08-30</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CN202220774766.5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Battery Pack Swapping Connector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2022-07-26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CN202220697269.X</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Double Spring-Limited Battery Pack Locking Mechanism for Electric Vehicles</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2022-07-26</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CN202220591673.9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Battery Pack Rooting Mechanism with Fault Tolerance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2022-07-26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CN202121147209.2</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 Spreader for Battery-Swapping of New Energy Vehicles</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2022-01-18</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CN202320055606.X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Battery Box Compartment Rack Assembly for Charging Stations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2023-04-25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CN202320136496.X</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Battery Box Locking Device for Electric Vehicles</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2023-06-13</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Utility Model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CN202110907285.7</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Flexible Battery Enclosure for Electric Vehicles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2022-09-30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Invention Patent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 years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PRC  </w:t>
            </w:r>
          </w:p>
        </w:tc>
        <w:tc>
          <w:tcPr>
            <w:tcW w:w="90" w:type="dxa"/>
            <w:tcBorders/>
            <w:tcMar>
              <w:bottom w:w="0" w:type="dxa"/>
            </w:tcMar>
            <w:vAlign w:val="center"/>
          </w:tcPr>
          <w:p>
            <w:pPr>
              <w:pStyle w:val="TableContents"/>
              <w:bidi w:val="0"/>
              <w:spacing w:before="0" w:after="283"/>
              <w:jc w:val="left"/>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CN202111349980.2</w:t>
            </w:r>
          </w:p>
        </w:tc>
        <w:tc>
          <w:tcPr>
            <w:tcW w:w="90" w:type="dxa"/>
            <w:tcBorders/>
            <w:tcMar>
              <w:bottom w:w="0" w:type="dxa"/>
            </w:tcMar>
            <w:vAlign w:val="center"/>
          </w:tcPr>
          <w:p>
            <w:pPr>
              <w:pStyle w:val="TableContents"/>
              <w:bidi w:val="0"/>
              <w:spacing w:before="0" w:after="283"/>
              <w:jc w:val="center"/>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System for Information Exchange and Battery Swapping between Vehicles and Swap Stations</w:t>
            </w:r>
          </w:p>
        </w:tc>
        <w:tc>
          <w:tcPr>
            <w:tcW w:w="90" w:type="dxa"/>
            <w:tcBorders/>
            <w:tcMar>
              <w:bottom w:w="0" w:type="dxa"/>
            </w:tcMar>
            <w:vAlign w:val="center"/>
          </w:tcPr>
          <w:p>
            <w:pPr>
              <w:pStyle w:val="TableContents"/>
              <w:bidi w:val="0"/>
              <w:spacing w:before="0" w:after="283"/>
              <w:jc w:val="center"/>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2023-06-20</w:t>
            </w:r>
          </w:p>
        </w:tc>
        <w:tc>
          <w:tcPr>
            <w:tcW w:w="9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Invention Patent</w:t>
            </w:r>
          </w:p>
        </w:tc>
        <w:tc>
          <w:tcPr>
            <w:tcW w:w="90" w:type="dxa"/>
            <w:tcBorders/>
            <w:tcMar>
              <w:bottom w:w="0" w:type="dxa"/>
            </w:tcMar>
            <w:vAlign w:val="center"/>
          </w:tcPr>
          <w:p>
            <w:pPr>
              <w:pStyle w:val="TableContents"/>
              <w:bidi w:val="0"/>
              <w:spacing w:before="0" w:after="283"/>
              <w:jc w:val="center"/>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 years</w:t>
            </w:r>
          </w:p>
        </w:tc>
        <w:tc>
          <w:tcPr>
            <w:tcW w:w="90" w:type="dxa"/>
            <w:tcBorders/>
            <w:tcMar>
              <w:bottom w:w="0" w:type="dxa"/>
            </w:tcMar>
            <w:vAlign w:val="center"/>
          </w:tcPr>
          <w:p>
            <w:pPr>
              <w:pStyle w:val="TableContents"/>
              <w:bidi w:val="0"/>
              <w:spacing w:before="0" w:after="283"/>
              <w:jc w:val="center"/>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CN202222076850.2</w:t>
            </w:r>
          </w:p>
        </w:tc>
        <w:tc>
          <w:tcPr>
            <w:tcW w:w="90" w:type="dxa"/>
            <w:tcBorders/>
            <w:shd w:fill="CCEEFF" w:val="clear"/>
            <w:tcMar>
              <w:bottom w:w="0" w:type="dxa"/>
            </w:tcMar>
            <w:vAlign w:val="center"/>
          </w:tcPr>
          <w:p>
            <w:pPr>
              <w:pStyle w:val="TableContents"/>
              <w:bidi w:val="0"/>
              <w:spacing w:before="0" w:after="283"/>
              <w:jc w:val="both"/>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Unmanned Electric Vehicle Swapping Drone</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2022-11-15</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tcMar>
              <w:bottom w:w="0" w:type="dxa"/>
            </w:tcMar>
            <w:vAlign w:val="center"/>
          </w:tcPr>
          <w:p>
            <w:pPr>
              <w:pStyle w:val="TableContents"/>
              <w:bidi w:val="0"/>
              <w:spacing w:before="0" w:after="283"/>
              <w:jc w:val="both"/>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tcMar>
              <w:bottom w:w="0" w:type="dxa"/>
            </w:tcMar>
            <w:vAlign w:val="center"/>
          </w:tcPr>
          <w:p>
            <w:pPr>
              <w:pStyle w:val="TableContents"/>
              <w:bidi w:val="0"/>
              <w:spacing w:before="0" w:after="283"/>
              <w:jc w:val="both"/>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tcMar>
              <w:bottom w:w="0" w:type="dxa"/>
            </w:tcMar>
            <w:vAlign w:val="center"/>
          </w:tcPr>
          <w:p>
            <w:pPr>
              <w:pStyle w:val="TableContents"/>
              <w:bidi w:val="0"/>
              <w:spacing w:before="0" w:after="283"/>
              <w:jc w:val="both"/>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CN202222101377.9</w:t>
            </w:r>
          </w:p>
        </w:tc>
        <w:tc>
          <w:tcPr>
            <w:tcW w:w="90" w:type="dxa"/>
            <w:tcBorders/>
            <w:tcMar>
              <w:bottom w:w="0" w:type="dxa"/>
            </w:tcMar>
            <w:vAlign w:val="center"/>
          </w:tcPr>
          <w:p>
            <w:pPr>
              <w:pStyle w:val="TableContents"/>
              <w:bidi w:val="0"/>
              <w:spacing w:before="0" w:after="283"/>
              <w:jc w:val="both"/>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Accurately Positioned Heavy-Duty Electric Vehicle Swapping Station Lifting Device</w:t>
            </w:r>
          </w:p>
        </w:tc>
        <w:tc>
          <w:tcPr>
            <w:tcW w:w="90" w:type="dxa"/>
            <w:tcBorders/>
            <w:tcMar>
              <w:bottom w:w="0" w:type="dxa"/>
            </w:tcMar>
            <w:vAlign w:val="center"/>
          </w:tcPr>
          <w:p>
            <w:pPr>
              <w:pStyle w:val="TableContents"/>
              <w:bidi w:val="0"/>
              <w:spacing w:before="0" w:after="283"/>
              <w:jc w:val="both"/>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2023-04-07</w:t>
            </w:r>
          </w:p>
        </w:tc>
        <w:tc>
          <w:tcPr>
            <w:tcW w:w="90" w:type="dxa"/>
            <w:tcBorders/>
            <w:tcMar>
              <w:bottom w:w="0" w:type="dxa"/>
            </w:tcMar>
            <w:vAlign w:val="center"/>
          </w:tcPr>
          <w:p>
            <w:pPr>
              <w:pStyle w:val="TableContents"/>
              <w:bidi w:val="0"/>
              <w:spacing w:before="0" w:after="283"/>
              <w:jc w:val="both"/>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tcMar>
              <w:bottom w:w="0" w:type="dxa"/>
            </w:tcMar>
            <w:vAlign w:val="center"/>
          </w:tcPr>
          <w:p>
            <w:pPr>
              <w:pStyle w:val="TableContents"/>
              <w:bidi w:val="0"/>
              <w:spacing w:before="0" w:after="283"/>
              <w:jc w:val="both"/>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tcMar>
              <w:bottom w:w="0" w:type="dxa"/>
            </w:tcMar>
            <w:vAlign w:val="center"/>
          </w:tcPr>
          <w:p>
            <w:pPr>
              <w:pStyle w:val="TableContents"/>
              <w:bidi w:val="0"/>
              <w:spacing w:before="0" w:after="283"/>
              <w:jc w:val="both"/>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33"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CN202222130650.0</w:t>
            </w:r>
          </w:p>
        </w:tc>
        <w:tc>
          <w:tcPr>
            <w:tcW w:w="90" w:type="dxa"/>
            <w:tcBorders/>
            <w:shd w:fill="CCEEFF" w:val="clear"/>
            <w:tcMar>
              <w:bottom w:w="0" w:type="dxa"/>
            </w:tcMar>
            <w:vAlign w:val="center"/>
          </w:tcPr>
          <w:p>
            <w:pPr>
              <w:pStyle w:val="TableContents"/>
              <w:bidi w:val="0"/>
              <w:spacing w:before="0" w:after="283"/>
              <w:jc w:val="both"/>
              <w:rPr/>
            </w:pPr>
            <w:r>
              <w:rPr/>
              <w:t> </w:t>
            </w:r>
          </w:p>
        </w:tc>
        <w:tc>
          <w:tcPr>
            <w:tcW w:w="2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Vehicle-Mounted Battery Pack Base Suitable for Heavy-Duty Trucks</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2022-12-13</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tcMar>
              <w:bottom w:w="0" w:type="dxa"/>
            </w:tcMar>
            <w:vAlign w:val="center"/>
          </w:tcPr>
          <w:p>
            <w:pPr>
              <w:pStyle w:val="TableContents"/>
              <w:bidi w:val="0"/>
              <w:spacing w:before="0" w:after="283"/>
              <w:jc w:val="both"/>
              <w:rPr/>
            </w:pPr>
            <w:r>
              <w:rPr/>
              <w:t> </w:t>
            </w:r>
          </w:p>
        </w:tc>
        <w:tc>
          <w:tcPr>
            <w:tcW w:w="8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tcMar>
              <w:bottom w:w="0" w:type="dxa"/>
            </w:tcMar>
            <w:vAlign w:val="center"/>
          </w:tcPr>
          <w:p>
            <w:pPr>
              <w:pStyle w:val="TableContents"/>
              <w:bidi w:val="0"/>
              <w:spacing w:before="0" w:after="283"/>
              <w:jc w:val="both"/>
              <w:rPr/>
            </w:pPr>
            <w:r>
              <w:rPr/>
              <w:t> </w:t>
            </w:r>
          </w:p>
        </w:tc>
        <w:tc>
          <w:tcPr>
            <w:tcW w:w="11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9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tcMar>
              <w:bottom w:w="0" w:type="dxa"/>
            </w:tcMar>
            <w:vAlign w:val="center"/>
          </w:tcPr>
          <w:p>
            <w:pPr>
              <w:pStyle w:val="TableContents"/>
              <w:bidi w:val="0"/>
              <w:spacing w:before="0" w:after="283"/>
              <w:jc w:val="both"/>
              <w:rPr/>
            </w:pPr>
            <w:r>
              <w:rPr/>
              <w:t> </w:t>
            </w:r>
          </w:p>
        </w:tc>
        <w:tc>
          <w:tcPr>
            <w:tcW w:w="2033"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CN202222227148.1</w:t>
            </w:r>
          </w:p>
        </w:tc>
        <w:tc>
          <w:tcPr>
            <w:tcW w:w="90" w:type="dxa"/>
            <w:tcBorders/>
            <w:tcMar>
              <w:bottom w:w="0" w:type="dxa"/>
            </w:tcMar>
            <w:vAlign w:val="center"/>
          </w:tcPr>
          <w:p>
            <w:pPr>
              <w:pStyle w:val="TableContents"/>
              <w:bidi w:val="0"/>
              <w:spacing w:before="0" w:after="283"/>
              <w:jc w:val="both"/>
              <w:rPr/>
            </w:pPr>
            <w:r>
              <w:rPr/>
              <w:t> </w:t>
            </w:r>
          </w:p>
        </w:tc>
        <w:tc>
          <w:tcPr>
            <w:tcW w:w="2336"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New Energy Vehicle Battery Swapping System Powered by Clean Energy Sources</w:t>
            </w:r>
          </w:p>
        </w:tc>
        <w:tc>
          <w:tcPr>
            <w:tcW w:w="90" w:type="dxa"/>
            <w:tcBorders/>
            <w:tcMar>
              <w:bottom w:w="0" w:type="dxa"/>
            </w:tcMar>
            <w:vAlign w:val="center"/>
          </w:tcPr>
          <w:p>
            <w:pPr>
              <w:pStyle w:val="TableContents"/>
              <w:bidi w:val="0"/>
              <w:spacing w:before="0" w:after="283"/>
              <w:jc w:val="both"/>
              <w:rPr/>
            </w:pPr>
            <w:r>
              <w:rPr/>
              <w:t> </w:t>
            </w:r>
          </w:p>
        </w:tc>
        <w:tc>
          <w:tcPr>
            <w:tcW w:w="120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2023-03-24</w:t>
            </w:r>
          </w:p>
        </w:tc>
        <w:tc>
          <w:tcPr>
            <w:tcW w:w="90" w:type="dxa"/>
            <w:tcBorders/>
            <w:tcMar>
              <w:bottom w:w="0" w:type="dxa"/>
            </w:tcMar>
            <w:vAlign w:val="center"/>
          </w:tcPr>
          <w:p>
            <w:pPr>
              <w:pStyle w:val="TableContents"/>
              <w:bidi w:val="0"/>
              <w:spacing w:before="0" w:after="283"/>
              <w:jc w:val="both"/>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tcMar>
              <w:bottom w:w="0" w:type="dxa"/>
            </w:tcMar>
            <w:vAlign w:val="center"/>
          </w:tcPr>
          <w:p>
            <w:pPr>
              <w:pStyle w:val="TableContents"/>
              <w:bidi w:val="0"/>
              <w:spacing w:before="0" w:after="283"/>
              <w:jc w:val="both"/>
              <w:rPr/>
            </w:pPr>
            <w:r>
              <w:rPr/>
              <w:t> </w:t>
            </w:r>
          </w:p>
        </w:tc>
        <w:tc>
          <w:tcPr>
            <w:tcW w:w="891"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tcMar>
              <w:bottom w:w="0" w:type="dxa"/>
            </w:tcMar>
            <w:vAlign w:val="center"/>
          </w:tcPr>
          <w:p>
            <w:pPr>
              <w:pStyle w:val="TableContents"/>
              <w:bidi w:val="0"/>
              <w:spacing w:before="0" w:after="283"/>
              <w:jc w:val="both"/>
              <w:rPr/>
            </w:pPr>
            <w:r>
              <w:rPr/>
              <w:t> </w:t>
            </w:r>
          </w:p>
        </w:tc>
        <w:tc>
          <w:tcPr>
            <w:tcW w:w="1177"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0"/>
        <w:gridCol w:w="1738"/>
        <w:gridCol w:w="90"/>
        <w:gridCol w:w="4133"/>
        <w:gridCol w:w="90"/>
        <w:gridCol w:w="658"/>
        <w:gridCol w:w="90"/>
        <w:gridCol w:w="1101"/>
        <w:gridCol w:w="90"/>
        <w:gridCol w:w="583"/>
        <w:gridCol w:w="90"/>
        <w:gridCol w:w="997"/>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CN202222519831.2</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Rotatable Heavy-Duty Vehicle Battery Swapping Station Hoist</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2023-01-17</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CN202222650534.1</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Electric Vehicle Battery Swapping Lock</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2023-01-31</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CN202223083482.0</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Suspension-Type Battery Box Mounting Mechanism</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2023-04-18</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CN202223131182.5</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Quick-Release DC Output Charging Device</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2023-03-28</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CN202223315209.6</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Exchangeable Battery Pack Exchange Structure</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2023-05-09</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CN202230617507.7</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Quick-Change Battery Pack</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2023-01-10</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CN202320057020.7</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Battery Box Transport Device for Swapping Stations</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2023-05-26</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CN202320125070.4</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Battery Pack Maintenance and Storage Cabinet</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2023-06-23</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CN202222163173.8</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Mobile Device for Heavy-Duty Battery Swapping Stations</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2022-11-22</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CN202111348022.3</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System and method for monitoring high-capacity lithium-ion batteries</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2024-03-19</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CN202330032697.0</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Quick-change battery box</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2023-11-10</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CN202230514295.X</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Display screen panel with station control system graphical user interface</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2023-01-17</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CN202230514494.0</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Battery exchange mini-program graphical user interface for display screen panel (Uda battery exchange mini-program)</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2023-01-17</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CN202230514294.5</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Display screen panel with graphical user interface for software (Uda battery exchange operation management platform SaaS system)</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2023-01-13</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CN202230346944.X</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Station-cloud communication device</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2023-01-10</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CN202230514504.0</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Display screen panel with graphical user interface (Uda battery exchange operation management platform)</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2023-01-10</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CN202221780227.9</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On-board battery exchange device</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2022-11-15</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ZL202420037870.5</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battery locking and unlocking RGV (Rail-Guided Vehicle)</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2024-02-06</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ZL202323085598.2</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intelligent battery swapping station</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2024-01-09</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ZL202420037902.1</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battery handling stacker</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2024-02-06</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ZL202110835764.2</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fixing and quick-installation mechanism for battery swap boxes</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2024-05-24</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ZL202110835790.5</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fixing mechanism for electric vehicle battery boxes</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2024-05-24</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ZL202110858600.1</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battery box system and output voltage switching method that can switch between multiple voltage levels</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2024-05-24</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ZL202110881386.1</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fastening device for quickly securing battery boxes</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2024-05-24</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CN202110907741.8</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Locking device for battery box for battery swapping </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2024-05-24</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Invention Paten</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 year</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CN202420720847</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Electric vehicle chassis battery swapping system based on vehicle-mounted rails</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2025-03-14</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CN202422924992.9</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automatic ramp structure for a charging station</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2025-10-03</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vAlign w:val="center"/>
          </w:tcPr>
          <w:p>
            <w:pPr>
              <w:pStyle w:val="TableContents"/>
              <w:bidi w:val="0"/>
              <w:spacing w:before="0" w:after="283"/>
              <w:jc w:val="both"/>
              <w:rPr/>
            </w:pPr>
            <w:r>
              <w:rPr/>
              <w:t> </w:t>
            </w:r>
          </w:p>
        </w:tc>
        <w:tc>
          <w:tcPr>
            <w:tcW w:w="173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CN202423016802.X</w:t>
            </w:r>
          </w:p>
        </w:tc>
        <w:tc>
          <w:tcPr>
            <w:tcW w:w="90" w:type="dxa"/>
            <w:tcBorders/>
            <w:vAlign w:val="center"/>
          </w:tcPr>
          <w:p>
            <w:pPr>
              <w:pStyle w:val="TableContents"/>
              <w:bidi w:val="0"/>
              <w:spacing w:before="0" w:after="283"/>
              <w:jc w:val="both"/>
              <w:rPr/>
            </w:pPr>
            <w:r>
              <w:rPr/>
              <w:t> </w:t>
            </w:r>
          </w:p>
        </w:tc>
        <w:tc>
          <w:tcPr>
            <w:tcW w:w="413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 apparatus for the maintenance and installation of large-weight battery boxes</w:t>
            </w:r>
          </w:p>
        </w:tc>
        <w:tc>
          <w:tcPr>
            <w:tcW w:w="90"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2025-09-30</w:t>
            </w:r>
          </w:p>
        </w:tc>
        <w:tc>
          <w:tcPr>
            <w:tcW w:w="90" w:type="dxa"/>
            <w:tcBorders/>
            <w:vAlign w:val="center"/>
          </w:tcPr>
          <w:p>
            <w:pPr>
              <w:pStyle w:val="TableContents"/>
              <w:bidi w:val="0"/>
              <w:spacing w:before="0" w:after="283"/>
              <w:jc w:val="both"/>
              <w:rPr/>
            </w:pPr>
            <w:r>
              <w:rPr/>
              <w:t> </w:t>
            </w:r>
          </w:p>
        </w:tc>
        <w:tc>
          <w:tcPr>
            <w:tcW w:w="110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vAlign w:val="center"/>
          </w:tcPr>
          <w:p>
            <w:pPr>
              <w:pStyle w:val="TableContents"/>
              <w:bidi w:val="0"/>
              <w:spacing w:before="0" w:after="283"/>
              <w:jc w:val="both"/>
              <w:rPr/>
            </w:pPr>
            <w:r>
              <w:rPr/>
              <w:t> </w:t>
            </w:r>
          </w:p>
        </w:tc>
        <w:tc>
          <w:tcPr>
            <w:tcW w:w="5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vAlign w:val="center"/>
          </w:tcPr>
          <w:p>
            <w:pPr>
              <w:pStyle w:val="TableContents"/>
              <w:bidi w:val="0"/>
              <w:spacing w:before="0" w:after="283"/>
              <w:jc w:val="both"/>
              <w:rPr/>
            </w:pPr>
            <w:r>
              <w:rPr/>
              <w:t> </w:t>
            </w:r>
          </w:p>
        </w:tc>
        <w:tc>
          <w:tcPr>
            <w:tcW w:w="99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w:t>
            </w:r>
          </w:p>
        </w:tc>
        <w:tc>
          <w:tcPr>
            <w:tcW w:w="90" w:type="dxa"/>
            <w:tcBorders/>
            <w:shd w:fill="CCEEFF" w:val="clear"/>
            <w:vAlign w:val="center"/>
          </w:tcPr>
          <w:p>
            <w:pPr>
              <w:pStyle w:val="TableContents"/>
              <w:bidi w:val="0"/>
              <w:spacing w:before="0" w:after="283"/>
              <w:jc w:val="both"/>
              <w:rPr/>
            </w:pPr>
            <w:r>
              <w:rPr/>
              <w:t> </w:t>
            </w:r>
          </w:p>
        </w:tc>
        <w:tc>
          <w:tcPr>
            <w:tcW w:w="173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CN202520033896.7</w:t>
            </w:r>
          </w:p>
        </w:tc>
        <w:tc>
          <w:tcPr>
            <w:tcW w:w="90" w:type="dxa"/>
            <w:tcBorders/>
            <w:shd w:fill="CCEEFF" w:val="clear"/>
            <w:vAlign w:val="center"/>
          </w:tcPr>
          <w:p>
            <w:pPr>
              <w:pStyle w:val="TableContents"/>
              <w:bidi w:val="0"/>
              <w:spacing w:before="0" w:after="283"/>
              <w:jc w:val="both"/>
              <w:rPr/>
            </w:pPr>
            <w:r>
              <w:rPr/>
              <w:t> </w:t>
            </w:r>
          </w:p>
        </w:tc>
        <w:tc>
          <w:tcPr>
            <w:tcW w:w="413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hoisting mechanism for charging stations</w:t>
            </w:r>
          </w:p>
        </w:tc>
        <w:tc>
          <w:tcPr>
            <w:tcW w:w="90" w:type="dxa"/>
            <w:tcBorders/>
            <w:shd w:fill="CCEEFF" w:val="clear"/>
            <w:vAlign w:val="center"/>
          </w:tcPr>
          <w:p>
            <w:pPr>
              <w:pStyle w:val="TableContents"/>
              <w:bidi w:val="0"/>
              <w:spacing w:before="0" w:after="283"/>
              <w:jc w:val="both"/>
              <w:rPr/>
            </w:pPr>
            <w:r>
              <w:rPr/>
              <w:t> </w:t>
            </w:r>
          </w:p>
        </w:tc>
        <w:tc>
          <w:tcPr>
            <w:tcW w:w="658"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2025-12-23</w:t>
            </w:r>
          </w:p>
        </w:tc>
        <w:tc>
          <w:tcPr>
            <w:tcW w:w="90" w:type="dxa"/>
            <w:tcBorders/>
            <w:shd w:fill="CCEEFF" w:val="clear"/>
            <w:vAlign w:val="center"/>
          </w:tcPr>
          <w:p>
            <w:pPr>
              <w:pStyle w:val="TableContents"/>
              <w:bidi w:val="0"/>
              <w:spacing w:before="0" w:after="283"/>
              <w:jc w:val="both"/>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Utility Model Patent</w:t>
            </w:r>
          </w:p>
        </w:tc>
        <w:tc>
          <w:tcPr>
            <w:tcW w:w="90" w:type="dxa"/>
            <w:tcBorders/>
            <w:shd w:fill="CCEEFF" w:val="clear"/>
            <w:vAlign w:val="center"/>
          </w:tcPr>
          <w:p>
            <w:pPr>
              <w:pStyle w:val="TableContents"/>
              <w:bidi w:val="0"/>
              <w:spacing w:before="0" w:after="283"/>
              <w:jc w:val="both"/>
              <w:rPr/>
            </w:pPr>
            <w:r>
              <w:rPr/>
              <w:t> </w:t>
            </w:r>
          </w:p>
        </w:tc>
        <w:tc>
          <w:tcPr>
            <w:tcW w:w="583"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years</w:t>
            </w:r>
          </w:p>
        </w:tc>
        <w:tc>
          <w:tcPr>
            <w:tcW w:w="90" w:type="dxa"/>
            <w:tcBorders/>
            <w:shd w:fill="CCEEFF" w:val="clear"/>
            <w:vAlign w:val="center"/>
          </w:tcPr>
          <w:p>
            <w:pPr>
              <w:pStyle w:val="TableContents"/>
              <w:bidi w:val="0"/>
              <w:spacing w:before="0" w:after="283"/>
              <w:jc w:val="both"/>
              <w:rPr/>
            </w:pPr>
            <w:r>
              <w:rPr/>
              <w:t> </w:t>
            </w:r>
          </w:p>
        </w:tc>
        <w:tc>
          <w:tcPr>
            <w:tcW w:w="997"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86, 80 and 77 full-time employees for the fiscal years ended December 31, 2025, 2024 and 2023, respectively. The following table sets forth the numbers of our employees categorized by function as of April 1, 2026:</w:t>
      </w:r>
    </w:p>
    <w:p>
      <w:pPr>
        <w:pStyle w:val="TextBody"/>
        <w:bidi w:val="0"/>
        <w:spacing w:before="0" w:after="0"/>
        <w:ind w:left="0" w:right="0" w:hanging="0"/>
        <w:jc w:val="both"/>
        <w:rPr>
          <w:caps w:val="false"/>
          <w:smallCaps w:val="false"/>
        </w:rPr>
      </w:pPr>
      <w:r>
        <w:rPr>
          <w:caps w:val="false"/>
          <w:smallCaps w:val="false"/>
        </w:rPr>
        <w:t> </w:t>
      </w:r>
    </w:p>
    <w:tbl>
      <w:tblPr>
        <w:tblW w:w="3984" w:type="dxa"/>
        <w:jc w:val="left"/>
        <w:tblInd w:w="0" w:type="dxa"/>
        <w:tblLayout w:type="fixed"/>
        <w:tblCellMar>
          <w:top w:w="0" w:type="dxa"/>
          <w:left w:w="0" w:type="dxa"/>
          <w:bottom w:w="28" w:type="dxa"/>
          <w:right w:w="0" w:type="dxa"/>
        </w:tblCellMar>
      </w:tblPr>
      <w:tblGrid>
        <w:gridCol w:w="2870"/>
        <w:gridCol w:w="90"/>
        <w:gridCol w:w="209"/>
        <w:gridCol w:w="680"/>
        <w:gridCol w:w="135"/>
      </w:tblGrid>
      <w:tr>
        <w:trPr/>
        <w:tc>
          <w:tcPr>
            <w:tcW w:w="287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Function</w:t>
            </w:r>
          </w:p>
        </w:tc>
        <w:tc>
          <w:tcPr>
            <w:tcW w:w="9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br/>
              <w:t xml:space="preserve">April 1, </w:t>
              <w:br/>
              <w:t>2026</w:t>
            </w:r>
          </w:p>
        </w:tc>
        <w:tc>
          <w:tcPr>
            <w:tcW w:w="135"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Executives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90" w:type="dxa"/>
            <w:tcBorders/>
            <w:tcMar>
              <w:bottom w:w="0" w:type="dxa"/>
            </w:tcMar>
            <w:vAlign w:val="center"/>
          </w:tcPr>
          <w:p>
            <w:pPr>
              <w:pStyle w:val="TableContents"/>
              <w:bidi w:val="0"/>
              <w:spacing w:before="0" w:after="283"/>
              <w:jc w:val="left"/>
              <w:rPr/>
            </w:pPr>
            <w:r>
              <w:rPr/>
              <w:t> </w:t>
            </w:r>
          </w:p>
        </w:tc>
        <w:tc>
          <w:tcPr>
            <w:tcW w:w="209"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35"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Operation and Administrative</w:t>
            </w:r>
          </w:p>
        </w:tc>
        <w:tc>
          <w:tcPr>
            <w:tcW w:w="90" w:type="dxa"/>
            <w:tcBorders/>
            <w:tcMar>
              <w:bottom w:w="0" w:type="dxa"/>
            </w:tcMar>
            <w:vAlign w:val="center"/>
          </w:tcPr>
          <w:p>
            <w:pPr>
              <w:pStyle w:val="TableContents"/>
              <w:bidi w:val="0"/>
              <w:spacing w:before="0" w:after="283"/>
              <w:jc w:val="left"/>
              <w:rPr/>
            </w:pPr>
            <w:r>
              <w:rPr/>
              <w:t> </w:t>
            </w:r>
          </w:p>
        </w:tc>
        <w:tc>
          <w:tcPr>
            <w:tcW w:w="209"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135"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number of employees</w:t>
            </w:r>
          </w:p>
        </w:tc>
        <w:tc>
          <w:tcPr>
            <w:tcW w:w="90" w:type="dxa"/>
            <w:tcBorders/>
            <w:tcMar>
              <w:bottom w:w="0" w:type="dxa"/>
            </w:tcMar>
            <w:vAlign w:val="center"/>
          </w:tcPr>
          <w:p>
            <w:pPr>
              <w:pStyle w:val="TableContents"/>
              <w:bidi w:val="0"/>
              <w:spacing w:before="0" w:after="283"/>
              <w:jc w:val="left"/>
              <w:rPr/>
            </w:pPr>
            <w:r>
              <w:rPr/>
              <w:t> </w:t>
            </w:r>
          </w:p>
        </w:tc>
        <w:tc>
          <w:tcPr>
            <w:tcW w:w="209" w:type="dxa"/>
            <w:tcBorders>
              <w:bottom w:val="double" w:sz="10" w:space="0" w:color="000000"/>
            </w:tcBorders>
            <w:vAlign w:val="center"/>
          </w:tcPr>
          <w:p>
            <w:pPr>
              <w:pStyle w:val="TableContents"/>
              <w:bidi w:val="0"/>
              <w:spacing w:before="0" w:after="283"/>
              <w:jc w:val="left"/>
              <w:rPr/>
            </w:pPr>
            <w:r>
              <w:rPr/>
              <w:t> </w:t>
            </w:r>
          </w:p>
        </w:tc>
        <w:tc>
          <w:tcPr>
            <w:tcW w:w="68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employment contracts with our full-time employees. As required by regulations in China, our Chinese subsidiaries participate in various employee social security plans that are organized by municipal and provincial governments for our PRC-based full-time employees, including pension, unemployment insurance, childbirth insurance, work-related injury insurance, medical insurance and housing insurance. Our PRC subsidiaries are required under PRC law to make contributions from time to time to employee benefit plans for full-time employees at specified percentages of the salaries, bonuses and certain allowances of such employees, up to a maximum amount specified by the local governments in China. For more details, please see “Item 4. Information On The Company — Regulations — Regulation Related to Employment, Social Insurance and Housing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not covered by any collective bargaining agreements. We believe that we maintain a good working relationship with our employees, and we have not experienced any significant labor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lease all of our facilities. The following table sets forth the location, approximate size, primary use and lease term of our major leased facilities:</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28" w:type="dxa"/>
          <w:right w:w="0" w:type="dxa"/>
        </w:tblCellMar>
      </w:tblPr>
      <w:tblGrid>
        <w:gridCol w:w="1640"/>
        <w:gridCol w:w="90"/>
        <w:gridCol w:w="1880"/>
        <w:gridCol w:w="90"/>
        <w:gridCol w:w="1955"/>
        <w:gridCol w:w="90"/>
        <w:gridCol w:w="1475"/>
        <w:gridCol w:w="90"/>
        <w:gridCol w:w="1730"/>
      </w:tblGrid>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Location</w:t>
            </w:r>
          </w:p>
        </w:tc>
        <w:tc>
          <w:tcPr>
            <w:tcW w:w="9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Approximate </w:t>
              <w:br/>
              <w:t xml:space="preserve">Gross Floor Area </w:t>
              <w:br/>
              <w:t>in Square Meters</w:t>
            </w:r>
          </w:p>
        </w:tc>
        <w:tc>
          <w:tcPr>
            <w:tcW w:w="9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Primary Use</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Lease or Own</w:t>
            </w:r>
          </w:p>
        </w:tc>
        <w:tc>
          <w:tcPr>
            <w:tcW w:w="90" w:type="dxa"/>
            <w:tcBorders/>
            <w:tcMar>
              <w:bottom w:w="0" w:type="dxa"/>
            </w:tcMar>
            <w:vAlign w:val="center"/>
          </w:tcPr>
          <w:p>
            <w:pPr>
              <w:pStyle w:val="TableContents"/>
              <w:bidi w:val="0"/>
              <w:spacing w:before="0" w:after="283"/>
              <w:jc w:val="left"/>
              <w:rPr/>
            </w:pPr>
            <w:r>
              <w:rPr/>
              <w:t> </w:t>
            </w:r>
          </w:p>
        </w:tc>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Lease</w:t>
              <w:br/>
              <w:t>Expiration Date</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Anhui, China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Global headquarters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1/31/2027</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Shanghai, China</w:t>
            </w:r>
          </w:p>
        </w:tc>
        <w:tc>
          <w:tcPr>
            <w:tcW w:w="9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752</w:t>
            </w:r>
          </w:p>
        </w:tc>
        <w:tc>
          <w:tcPr>
            <w:tcW w:w="9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Office</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w:t>
            </w:r>
          </w:p>
        </w:tc>
        <w:tc>
          <w:tcPr>
            <w:tcW w:w="9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11/15/2026</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Henan, China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Office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7/31/2026</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Zibo, China</w:t>
            </w:r>
          </w:p>
        </w:tc>
        <w:tc>
          <w:tcPr>
            <w:tcW w:w="9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15,430</w:t>
            </w:r>
          </w:p>
        </w:tc>
        <w:tc>
          <w:tcPr>
            <w:tcW w:w="9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Factory</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w:t>
            </w:r>
          </w:p>
        </w:tc>
        <w:tc>
          <w:tcPr>
            <w:tcW w:w="9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3/31/2027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Youpin SD., Youxu New Energy Technology (Zibo) Co., Ltd. (a wholly owned subsidiary of Youpin SD.), Mr. Jia Li, and Shandong Qiying Industrial Investment Development Co., Ltd. (“Shandong Qiying”) entered into a Capital Increase Agreement (the “Capital Increase Agreement”). Pursuant to the Capital Increase Agreement, in exchange for the total rental fees in the amount of RMB15,670,840 from April 1, 2022 to March 31, 2027, for both the factory and equipment of the Zibo Factory, Shandong Qiying shall receive 15% of the equity shares of Youxu New Energy Technology (Zibo) Co., Ltd. Furthermore, Youxu New Energy Technology (Zibo) Co., Ltd. and Shandong Qiying entered into a lease agreement on December 28, 2021 (the “Zibo Factory Lease Agreement”), pursuant to the Capital Increase Agreement. In November 2023, the parties entered into an amendment to the Capital Increase Agreement (the “Amendment”) and agreed that Shandong Qiying shall receive 16.11% of the equity shares of Youxu New Energy Technology (Zibo) Co., Ltd in exchange for the rental fees. A copy of the English translation of each of the Capital Increase Agreement, the Zibo Factory Lease Agreement Lease Agreement, and the Amendment is filed as Exhibits 4.6, 4.8, and 4.15, respectively,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certain types of insurance to safeguard against risks and unexpected events. For example, we provide social security insurance, including pension insurance, unemployment insurance, work-related injury insurance and medical insurance for employees. We also maintain employer liability insurance. We are not required to maintain business interruption insurance or product liability insurance in China under PRC laws and do not maintain key person insurance, insurance policies covering damages to network infrastructures or information technology systems, nor any insurance policies for properties. For the fiscal years ended December 31, 2024, 2023, and 2022, we did not file any material insurance claims in relation to our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automobile industry in China is subject to seasonal variations in revenues. Demand for automobiles is generally higher before or during certain major Chinese holidays, such as the Lunar New Year in January/February, the Labor Day holidays in May and the National Day holidays in October. Accordingly, we expect our revenues and operating results generally to be higher in these periods than in other months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legal proceedings in the ordinary course of our business. Litigation or any other legal or administrative proceeding, regardless of the outcome, is likely to result in substantial costs and diversion of our resources, including our management’s time and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Youpin SD sued one of its vehicle sourcing service providers Inner Mongolia Zhonglutong Trading Co., Ltd. for failing to deliver vehicles as scheduled to Youpin SD’s customer. Youpin SD won the case on September 8, 2022. On March 23, 2023, both parties entered into a settlement agreement, and the supplier agreed to return the deposit and liquidated damages with a total of RMB2,746,000 (US$376,000). As of the date of this annual report, Youpin SD has applied for compulsory enforcement and the remaining unpaid amount was RMB2,608,890 (US$371,171).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Youpin sued Hainan Gaozhan New Energy Vehicle Company Limited for its failure to refund a deposit of RMB170,000 (US$23,000) and payment of overdue interest to Youpin in November 2023. On April 10, 2024, Youpin won the trial. As of the date of this annual report, Youpin has applied for compulsory enforcement and the remaining unpaid amount was RMB201,428 (US$28,804).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Youguan Financial Leasing (China) Co., Ltd. sued Sichuan Maichebang Automobile Sales Co., Ltd., Yuan Mingqin, and Yuan Jinsong for rent and liquidated damages of a total of RMB1,949,000 (US278,703). On July 21, 2025, the court rendered a judgment, ordering Sichuan Maichebang Automobile Sales Co., Ltd. to pay unpaid rent and liquidated damages with a total of RMB1,378,082.10 (US$196,062), together with appraisal fees of RMB26,000 (US$3,699). Youguan Financial Leasing (China) Co., Ltd. has applied for compulsory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Quanzhou Youyi Power Exchange Network Technology Co., Ltd., Youpin SD and SH Youxu were sued by Quanzhou Meibiaoyouxin Automobile Sales Service Co., Ltd. for payment of RMB700,000 (US$95,890) and liquidated damages on January 16, 2024. The initial hearing was held on March 22, 2024. Youpin SD lost the case and appealed to the court on July 25, 2024. On November 8, 2024, the Quanzhou Intermediate People’s Court revoked the original judgment and remanded the case for retrial. A retrial hearing of second instance was held on January 9, 2026, and the judgment is currently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AHYS, Shanghai Youcang Business Consulting Partnership (Limited Partnership), and Li Jia were sued by Zhuji Huarui Wenhua Equity Investment Partnership (Limited Partnership), Zhuji Huarui Torch Venture Capital Investment Partnership (Limited Partnership), and Zhuji Fuhui Industrial Transformation and Upgrading Investment Fund Partnership (Limited Partnership). The plaintiffs requested the court to order the defendants to jointly pay the investment exit amount of RMB10,000,000 (US$1,429,981), along with overdue payment penalties (calculated based on RMB10,000 (US$1,430) at the prevailing one-year loan prime rate of banks, from January 1, 2024, to the actual payment date, and the litigation costs. On October 24, 2025, the court of first instance ruled in favor of the plaintiffs. On January 6, 2026, the court of second instance upheld the judgment rendered by the court of first instance.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Wuhu High-Tech Industrial Development Zone Administrative Committee issued an administrative decision to Youpin on August 29, 2024, which requires Youpin to return a rental subsidy with respect to a factory lease of RMB3,000,000 (US$428,994). Thereafter, Youpin applied for administrative reconsideration and filed a lawsuit. Both the administrative reconsideration and litigation proceedings upheld the administrative decision. As of the date of this annual report, Youpin has not returned the RMB3,000,000 rental subsidy.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Zibo Hengsong You Car Equity Investment Fund Partnership (Limited Partnership) (“Zibo Hengsong”) has sued Youpin SD, AHYS, WFOE, and Mr. Jia Li. The plaintiff requested the defendants to repurchase the 13.0435% equity interest in Youpin SD and jointly pay the equity repurchase price of RMB240,000,000 (US$34,319,544) plus interest (temporarily calculated at RMB78,220,273 (US$11,185,350)). The defendants filed a counterclaim demanding that the plaintiff transfer the 13.0435% equity interest in Youpin SD to the defendants at a consideration of RMB1. On December 22, 2025, the Zibo Intermediate People’s Court rendered a judgment, ordering AHYS and Mr. Jia Li to jointly pay Zibo Hengsong equity repurchase proceeds of RMB312,374,229.66 (US$44,677,747) plus interest accruing from January 11, 2025 to the date of actual payment (calculated on a principal amount of RMB240,000,000 at an annual interest rate of 8%); ordering Youpin SD to bear joint and several liability  with AHYS and Mr. Jia Li for such payment obligations; ordering WFOE to bear joint and several liability for AHYS’s payment obligations; and dismissing the defendants’ counterclaim in its entirety. In connection with the foregoing proceedings, the Zibo Intermediate People’s Court has frozen certain equity interests held by AHYS, Mr. Jia Li, and certain related entities, including, among others, AHYS’s equity interests in Youpin Automobile Service Group Co., Ltd. and Shanghai Youxu New Energy Technology Co., Ltd., Mr. Jia Li’s equity interests in Shanghai Youyi Jia New Energy Technology Partnership (Limited Partnership) and Shanghai Youcang Business Consulting Partnership (Limited Partnership), and equity interests held by AHYS and certain related entities in certain of our PRC subsidiaries, including Youpin, Youpin SD, SH Youteng, SH Youxu, and CD Youyineng, with the frozen equity interests ranging in value from approximately RMB103,548 to RMB100,000,000 per interest, and the freezing orders are to remain in effect through February or March 2028. On January 8, 2026, Youpin SD, AHYS, Mr. Jia Li, and WFOE filed an appeal with the Shandong High People’s Court, requesting that the first instance judgment be reversed and that all of Zibo Hengsong’s claims be dismissed. As of the date of this annual report, the case is under trial before the court of second instance.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 Youxu, AHYS, and WFOE were sued by Nanyang Chengtou Holding Co., Ltd. for payment of the repurchase of the equity interests in SH Youxu held by Nanyang Chengtou Holding Co., Ltd. of RMB5,000,000 (US$714,991) plus interest (temporarily calculated at RMB754,700 at an annual interest rate of 8%).   SH Youxu filed a counterclaim demanding that the plaintiff transfer an outstanding capital contribution of RMB5,000,000 (US$714,991). The court rendered a judgment on September 5, 2025, dismissing the plaintiff’s claims. As of the date of this annual report, no appeal has been filed by the plaintiff.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 Youxu and Youxu New Energy Technology (Nanyang) Co., Ltd. were sued by Shanghai Jiehuan Intelligent Technology Co., Ltd. for payment of RMB5,800,000 (US$828,389) for a battery swap station. The Company was added as a third party by the Shanghai Songjiang District People’s Court on August 12, 2025. On April 13, 2026, the court rendered the first-instance judgment, ordering the defendants to jointly and severally pay the plaintiff RMB5,800,000 (US$828,389). As of the date of this annual report, the case is under trial before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Youxu (Xiamen) Power Exchange Network Technology Co., Ltd. and Youpin SD were sued by Yidong New Energy Technology Co., Ltd. for battery depreciation deduction of RMB1,499,024.70 (US$213,239), liquidated damages of RMB414,412.38 (US$58,959), leasing service fees and overdue payment liquidated damages, with Youxu (Xiamen) Power Exchange Network Technology Co., Ltd. and Youpin SD bearing joint and several guarantee liability. The case was filed on March 5, 2026, and a court hearing is scheduled to be held on May 20, 2026. The case follows a prior dispute that was settled via mediation but subsequently led to enforcement proceedings due to non-compliance. As of the date of this annual report, the defendants are currently in negotiations with the plaintiff regarding a mediation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the principal laws and regulations relevant to our business and operations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operation and management of companies in the PRC are mainly governed by the Company Law, which was issued by the Standing Committee of the National People’s Congress and was last amended in December 2023. The Company Law applies to both PRC domestic companies and foreign-invested companies. The investment activities in China of foreign investors are also governed by the Foreign Investment Law, which was approved by the National People’s Congress of China in March 2019 and took effect on January 1, 2020. Along with the Foreign Investment Law, the Implementing Rules of Foreign Investment Law promulgated by the State Council and the Interpretation of the Supreme People’s Court on Several Issues Concerning the Application of the Foreign Investment Law promulgated by the Supreme People’s Court became effective on January 1, 2020. Pursuant to the Foreign Investment Law, the term “foreign investments” refers to any direct or indirect investment activities conducted by any foreign investor in the PRC, including foreign individuals, enterprises or organizations; such investment includes any of the following circumstances: (i)foreign investors establishing foreign-invested enterprises in the PRC solely or jointly with other investors, (ii)foreign investors acquiring shares, equity interests, property portions or other similar rights and interests thereof within the PRC, (iii)foreign investors investing in new projects in the PRC solely or jointly with other investors, and (iv)other forms of investments as defined by laws, regulations, or as otherwise stipulated by the State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Investment Law, the State Council shall promulgate or approve a list of special administrative measures for access of foreign investments. We refer to this as the negative list. The Foreign Investment Law grants treatment to foreign investors and their investments at the market access stage which is no less favorable than that given to domestic investors and their investments, except for the investments of foreign investors in industries deemed to be either “restricted” or “prohibited” on the negative list. The Foreign Investment Law provides that foreign investors shall not invest in the “prohibited” industries on the negative list, and shall meet such requirements as stipulated under the Negative List for making investment in “restricted” industries on the negative list. Accordingly, the National Development and Reform Commission, or the NDRC, and the Ministry of Commerce promulgated the Special Entry Management Measures (Negative List) for the Access of Foreign Investment (2024 version), or the 2024 Negative List, which took effect on November 1, 2024, and the NDRC and the Ministry of Commerce promulgated the Encouraged Industry Catalogue for Foreign Investment (2025 version), or the 2025 Encouraged Industry Catalogue, which took effect on February 1, 2026. Industries not listed in the 2024 Negative List and 2025 Encouraged Industry Catalogue are generally open for foreign investments unless specifically restricted by other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and its implementing rules also provide several protective rules and principles for foreign investors and their investments in the PRC, including, among others,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will have legal liabilities imposed for failing to report investment information in accordance with the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Related to Automobile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Measures on Automobile Sales promulgated by the Ministry of Commerce, which became effective on July 1, 2017, automobile suppliers and dealers are required to file with the relevant authorities through the national automobile circulation information system operated by the competent commerce department within 90 days after the receipt of a business license. Where there is any change to the information filed, automobile suppliers and dealers must update such information within 30 days after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Favorable Government Policies Relating to New Energy Vehicles (“NEV”)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Subsidies for NEV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2015, the Ministry of Finance, or the MOF, the Ministry of Science and Technology, or the MOST, the MIIT and the NDRC jointly issued the Circular on the Financial Support Policies on the Promotion and Application of New Energy Vehicles in 2016 – 2020, or the Financial Support Circular, which took effect on the same day. The Financial Support Circular provides that those who purchase NEVs specified in the Catalogue of Recommended New Energy Vehicle Models for Promotion and Application by the MIIT may obtain subsidies from the PRC national government. Pursuant to the Financial Support Circular, a purchaser may purchase a new energy vehicle from a seller by paying the original price minus the subsidy amount, and the seller may obtain the subsidy amount from the government after such new energy vehicle is sold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2016, the MOF, the MOST, the MIIT and the NDRC jointly issued the Circular on Adjusting the Subsidy Policy for the Promotion and Application of New Energy Vehicles, or the Circular on Adjusting the Subsidy Policy, which took effect on January 1, 2017, to adjust the existing subsidy standards for purchasers of NEVs. The Circular on Adjusting the Subsidy Policy capped the local subsidies at 50% of the national subsidy amount, and further specified that national subsidies for purchasers purchasing certain NEVs (except for fuel cell vehicles) from 2019 to 2020 was reduced by 20% as compared to 2017 subsidy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Circular on Adjusting and Improving the Subsidy Policies for the Promotion the Application of New Energy Vehicles, which was jointly promulgated by the MOF, the MOST, the MIIT and the NDRC on February 12, 2018 and became effective on the same day further adjusted and improved the existing national subsidy standards for purchasers of NEVs.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2020, the Ministry of Finance, the Ministry of Industry and Information Technology, the Ministry of Science and Technology, and the Development and Reform Commission jointly issued the “Notice on Improving the Financial Subsidy Policy for the Promotion and Application of New Energy Vehicles,” extending the implementation period of the financial subsidy policy for the promotion and application of new energy vehicles to the end of 2022. In principle, the subsidy standard for 2020 – 2022 was reduced by 10%, 20%, and 30% on the basis of the previous year and the threshold for pure electric vehicles has been raised to 300 kilometers. For example, in 2020, pure electric new energy vehicles with a cruising range between 300 and 400 kilometers can enjoy a subsidy of RMB 16,200; pure electric new energy vehicles with a cruising range of more than 400 kilometers can enjoy a subsidy of RMB 22,500. At the same time, the subsidy amount for plug-in hybrid models with a mileage of more than 50 kilometers in pure electric state can enjoy a subsidy of RMB 8,500. In addition, the annual subsidy limit is about 2 million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2023, the Ministry of Industry and Information Technology, the Ministry of Transport, together with the Development and Reform Commission, the Ministry of Finance, the Ministry of Ecology and Environment, the Ministry of Housing and Urban-Rural Development, the Energy Bureau, and the Post Office launched the pilot work of the public domain vehicle comprehensive electrification pilot area nationwide, with a pilot period of 2023-2025 (the “2023 New Energy Vehicle Subsidy Policy”). The main policy goal is to significantly increase the level of vehicle electrification. The proportion of new energy vehicles in new and updated vehicles in pilot areas has increased significantly, among which, urban public transportation, leasing, sanitation, postal express delivery, and urban logistics distribution areas strive to reach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promote the development of local new energy vehicles, 23 cities have recently announced the 2023 New Energy Vehicle Subsidy Policy. Although the national subsidies ended, many areas still enjoy car purchase subsidies. For example, Shanghai continues to implement new energy vehicle replacement subsidies, individual consumers who transfer to Shanghai before June 30, 2023, and meet certain the relevant standards and purchase pure electric vehicles, is eligible to receive a financial subsidy of 10,000 yuan per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Exemption of Vehicle Purchase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2017, the Ministry of Finance, the SAT, the MIIT, and the Ministry of Science and Technology jointly issued the Announcement on Exemption of Vehicle Purchase Tax for New Energy Vehicle, pursuant to which, from January 1, 2018 to December 31, 2020, the vehicle purchase tax applicable to ICE vehicles is not imposed on purchases of qualified NEVs listed in the Catalogue of New Energy Vehicle Models Exempt from Vehicle Purchase Tax issued by the MIIT, including NEVs listed before December 31,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2020, the Ministry of Finance, the SAT, and the MIIT jointly issued the Announcement on Exemption Policy of Vehicle Purchase Tax for New Energy Vehicle, which was effective on January 1, 2021, pursuant to which the exemption of vehicle purchase tax for the NEVs was extended to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2022, the Ministry of Finance, the SAT, and the MIIT jointly issued the Announcement on the Continuation of the Vehicle Purchase Tax Exemption Policy for New Energy Vehicles, which became effective on September 18, 2022, pursuant to which the exemption of vehicle purchase tax for the NEVs was extended to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Non-Imposition of Vehicle and Vessel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Preferential Vehicle and Vessel Tax Policies for Energy-Saving and New Energy Vehicles and Vessels jointly promulgated by the Ministry of Finance, the Ministry of Transport, the SAT, and the MIIT, on July 10, 2018, NEVs, including battery electric commercial vehicles, plug-in (including extended-range) hybrid electric vehicles, fuel cell commercial vehicles are exempt from vehicle and vessel tax, whereas BEVs and fuel cell passenger vehicles are not subject to vehicle and vessel tax. The qualified vehicles are listed in the Catalogue of New Energy Vehicle Models Exempt from Vehicle and Vessel Tax issued by the MIIT and SAT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NEV License Plates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in order to control the number of motor vehicles on the road, certain local governments in China, such as Shanghai, Tianjin, Shenzhen, Guangzhou, and Hangzhou, have issued restrictions on the issuance of vehicle license plates. These restrictions generally do not apply to the issuance of license plates for NEVs (including EREVs, or extended-range electric passenger vehicles), which makes it easier for NEV purchasers to obtain license plates. For example, in Shanghai, local authorities will issue new license plates to qualified NEV purchasers pursuant to the Implementation Measures on Encouraging Purchase and Use of New Energy Vehicles in Shanghai, without requiring such qualified purchasers to go through certain license-plate bidding processes and to pay license-plate purchase fees as compared with ICE vehicle purchasers. However, in Beijing, EREVs are treated as ICE vehicles for the purposes of obtaining license plates under the Administration Rules on Encouraging Implementation of New Energy Vehicles in Beijing. Potential EREV purchasers in Beijing must participate in a lottery for a purchase permit, instead of applying for the NEV license plates based on the quota determined by the local authorities in Beijing.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Policies Relating to Incentives for Electric Vehicle Charging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Guiding Opinions of the General Office of the State Council on Accelerating the Promotion and Application of the New Energy Vehicles which took effect on July 14, 2014, the Guiding Opinions of the General Office of the State Council on Accelerating the Construction of Charging Infrastructure of the Electric Vehicle which took effect on September 29, 2015 and the Guidance on the Development of Electric Vehicle Charging Infrastructure (2015 – 2020) which took effect on October 9, 2015, the PRC government encourages the construction and development of charging infrastructure for electric vehicles, such as charging stations and battery swap stations, and requires relevant local authorities to adopt simplified construction approval procedures and expedite the approval process. In particular, only newly-built centralized charging and battery replacement power stations with independent land occupation are required to obtain the construction approvals and permits from the relevant authorities. Government guidance price should be implemented in managing the rate of the charging service fees before the year 2020.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2016, the Ministry of Finance, the Ministry of Science and Technology, the MIIT, the NDRC, and the National Energy Administration jointly promulgated the Circular on Incentive Policies on the Charging Infrastructures of New Energy Vehicles and Strengthening the Promotion and Application of New Energy Vehicles During the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Five-year Plan Period, which became effective on January 11,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Implementation Opinions on Further Improving the Service Support Capability of Electric Vehicle Charging Infrastructure (“Implementation Opinions”) was issued jointly by the NDRC, the National Energy Administration, the Ministry of Industry and Information Technology, the Ministry of Finance, the Ministry of Natural Resources, the Ministry of Housing and Urban-Rural Development, the Ministry of Transport, the Ministry of Agriculture and Rural Affairs, the Ministry of Emergency Management, and the State Administration for Market Regulation. The Implementation Opinions require that, by the end of 2025, China’s capacity of charging and supporting facilities for electric vehicles to be further improved to support more than 20 million electric vehicles, and encourage local governments to: (i) establish subsidy standards based on service quality to further incentivize the development of high-quality facilities; (ii) expand subsidies for developmental and demonstrative facilities such as high-power charging and vehicle-network interaction facilities, to promote industry transformation and upgrading. On October 20, 2020, the General Office of the State Council issued the Notice on Development Plan of New Energy Vehicles Industry (2021 – 2035). Pursuant to the notice, new energy vehicles industry in China has entered a new stage for accelerated development, in which the state plans to promote the construction of charging and swapping networks, encourage the application of power exchange mode, strengthen the research and development of new charging technologies, and improve charging convenience and product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2023, The General Office of the State Council issued the Guiding Opinions on Further Building a High-quality Charging Infrastructure System, according to which, by 2030, a high-quality charging infrastructure system with extensive coverage, moderate scale, reasonable structure and perfect functions shall be built to effectively support the development of the new energy vehicle industry and meet the people’s travel charging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Related to Compulsory Product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Administrative Regulations on Compulsory Product Certification as promulgated by the General Administration of Quality Supervision, Inspection and Quarantine, or the QSIQ, which was merged into the SAMR afterwards, on July 3, 2009 and became effective on September 1, 2009 and the List of the First Batch of Products Subject to Compulsory Product Certification as promulgated by the QSIQ in association with the State Certification and Accreditation Administration Committee, or the CAA on December 3, 2001, and became effective on the same day, QSIQ are responsible for the quality certification of automobiles. Automobiles and the relevant accessories must not be sold, exported or used in operating activities until they are certified by certification authorities designated by CAA as qualified products and granted certification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Related to Manufacturing New Energy Passenger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MIIT is responsible for the national-wide administration of new energy vehicles and their manufacturers. On July 24, 2020, the MIIT revised and promulgated the Administrative Measures for the Entry of Manufacturers of New Energy Passenger Vehicles and the Products, which took effect on September 1, 2020, or Circular 39. Pursuant to Circular 39, the manufacturers shall apply to the MIIT for the entry approval to become a qualified manufacturer in China and shall further apply to the MIIT for the entry approval for new energy passenger vehicles before commencing the manufacturing and sale of such new energy passenger vehicles in China. In order to obtain the entry approvals from the MIIT, the manufacturers shall meet certain requirements, including, among others, (1) having obtained the approvals or completed the filings with the NDRC in relation to manufacturing of electric vehicles, (2) having capabilities in the design, development and manufacture of automotive products, ensuring product consistency, providing after-sales service and product safety assurance, and (3) the new energy vehicles shall meet the technical criteria specified in Circular 39 and other safety and technical requirements specified by the MIIT and pass the inspections conducted by the relevant state-recognized testing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MIIT publishes the approved new energy passenger vehicles and their respective manufacturers in the Announcement of the Vehicle Manufacturers and Products, or the Manufacturers and Products Announcement, from time to time. Any manufacturer who manufactures or sells new energy vehicles without obtaining the entry approvals or prior to MITT publishing the new energy vehicles in the Manufacturers and Products Announcement may be subject to penalties, including fines, forfeiture of illegally manufactured and sold vehicles and spare parts and revocation of its business licenses.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Internet Information Security and Privacy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Internet Information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2016, the Standing Committee of the National People’s Congress promulgated the PRC Cyber Security Law, which became effective on June 1, 2017. The Cyber Security Law requires that network operators, including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a website and mobile application and providing certain internet services mainly through our mobile application. The Cyber Security Law further requires internet information services providers to formulate contingency plans for network security incidents, report to the competent departments immediately upon the occurrence of any incident endangering cyber security, and take corresponding remedial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information services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services providers being required to take technical and other necessary measures to ensure the security of the personal information they have collected and prevent the personal information from being divulged, damaged, or lost. Any violation of the Cyber Security Law may subject an internet information services provider to warnings, fines, confiscation of illegal gains, revocation of licenses, cancellation of filings, shutdown of websites, or criminal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Data Security Law was promulgated by the SCNPC, which became effective on September1, 2021. The Data Security Law mainly sets forth specific provisions regarding establishing basic systems for data security management, including hierarchical data classification management system, risk assessment system, monitoring and early warning system, and emergency disposal system. In addition, it clarifies the data security protection obligations of organizations and individuals carrying out data activities and implementing Data security protection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the NDRC, the MIIT, the Ministry of Public Security and the Ministry of Transport jointly promulgated the Several Provisions on Automotive Data Security Management (for Trial Implementation), or the Automobile Data Security Provisions, to regulate the processing of automobile data, which became effective on October 1, 2021. Pursuant to the Automobile Data Security Provisions, for the important data that processed during the use, operation or maintenance of automobile, such as personal information of more than 100,000 people, or the Important Data, the automotive data processor of such Important Data needs to submit a risk assessment report to the competent cyberspace administration regarding the important data processing activities to be carried out by it, and to annually report and submit the safety management status of the important data. The Automobile Data Security Provisions also dictated that when Important Data need to be provided to overseas parties due to business needs, a security assessment organized by the CAC in concert with the relevant departments of the State Council is required, and an automotive data processor shall not provide overseas parties with any Important Data for any reason beyond the purpose, scope and method, as well as the type and scale of the data, etc. specified for risk assessment of cross-border transfer of data. If we are deemed as automotive data processor, we may need to comply with the regulatory requirements for automobile data processors and in terms of important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and other twelve PRC regulatory authorities jointly revised and promulgated the Measures for Cybersecurity Review, or the Cybersecurity Review Measures, which came into effect on February 15, 2022, and the Measures for Cybersecurity Review, which took effect on June 1, 2020, was abolished at the same time. The Cybersecurity Review Measures provides that, among others, (i) the purchase of cyber products and services by critical information infrastructure operators (the “CIIOs”) and the network platform operators (the “Network Platform Operators”) which engage in data processing activities that affects or may affect national security shall be subject to the cybersecurity review by the Cybersecurity Review Office, the department which is responsible for the implementation of cybersecurity review under the CAC; and (ii) the Network Platform Operators with personal information data of more than one million users that seek for listing in a foreign country are obliged to apply for a cybersecurity review by the Cybersecurity Review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published the Measures for the Security Assessment of Outbound Data Transfer, which became effective on September 1, 2022. The measures apply to the security assessment of important data and personal information collected and generated during operation within the territory of the People’s Republic of China and transferred abroad by a data handler. According to the Measures, a data handler shall file with the State Cyberspace Administration for security assessment via the Province Cyberspace Administration if it transfers data abroad under any of the following circumstances: (i) a data handler who transfers important data abroad; (ii) a critical information infrastructure operator, or a data handler processing the personal information of more than one million individuals transfers personal information abroad; (iii) since January 1 of the previous year, a data handler cumulatively transferred abroad the personal information of more than 100,000 individuals, or the sensitive personal information of more than 10,000 individuals; or (iv) any other circumstances where the security assessment for the outbound data transfer is required by the State Cyberspace Administration. As advised by our PRC counsel, Guantao Law Firm, since none of our PRC operating entities is a data handler that transfers data abroad under any of the aforementioned circumstances, the operations of the PRC operating entities and our continued listing are not affected by the Measures for the Security Assessment of Outbound Data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State Council of China published the Regulations on Network Data Security Administration, which provides that data processing operators engaging in data processing activities that affect or may affect national security must be subject to network data security review by the relevant cyberspace administration of the PRC. The Regulations on Network Data Security Administration became effective on January 1, 2025. As confirmed by our PRC counsel, Guantao Law Firm, since we are not an online platform operator that possesses over one million users’ personal information, we are not subject to the cybersecurity review with the CAC under the Cybersecurity Review Measures and the Regulations on Network Data Security Administration. There remains uncertainty, however, as to how the Cybersecurity Review Measures will be interpreted or implemented and whether the PRC regulatory agencies, including the CAC, may adopt new laws, regulations, rules, or detailed implementation and interpretation related to the Cybersecurity Review Measures and the Regulations on Network Data Security Administration.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Privacy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2020, the National People’s Congress of the PRC approved the Civil Code of the PRC (the “Civil Code”), which has come into effect on January 1, 2021. Pursuant to the Civil Code, the personal information of a natural person shall be protected by the law. Any organization or individual that need to obtain personal information of others shall obtain such information legally and ensure the security of such information, and shall not illegally collect, use, process or transmit personal information of others, or illegally purchase, sell, provide or make public personal information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Civil Code, the PRC government authorities have enacted other laws and regulations with respect to Internet information security and protection of personal information from any abuse or unauthorized disclosure, which includes the Decision of the SCNPC on Maintaining Internet Security promulgated by the SCNPC on December 28, 2000 and amended on August 27, 2009, the Provisions on the Technical Measures for Internet Security Protection promulgated by the Ministry of Public Security on December 13, 2005 and becoming effective on March 1, 2006, and the Decision of the SCNPC on Strengthening Network Information Protection promulgated by the SCNPC on December 28,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2015, the CAC promulgated the Provisions on the Administrative of Account Names of Internet Users, which became effective as of March 1, 2015, setting forth the authentication requirement for the real identity of internet users by requiring users to provide their real names during the registration process. In addition, these provisions specify that internet information service providers are required by these provisions to accept public supervision, and promptly remove illegal and malicious information in account names, photos, self-introductions and other registration-related information reported by the public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SCNPC promulgated the Law of Personal Information Protection of PRC, or the Personal Information Protection Law, which became effective on November 1, 2021. Pursuant to the Personal Information Protection Law, the processing of personal information includes the collection, storage, use, processing, transmission, provision, disclosure, deletion, etc. of personal information, and before processing personal information, personal information processors should truthfully, accurately and completely inform individuals of the following matters in a conspicuous manner and in clear and easy-to-understand language: (i) the name and contact information of the personal information processor; (ii) purpose of processing personal information, processing method, type of personal information processed, and retention period; (iii) methods and procedures for individuals to exercise their rights under this law; and (iv) other matters that should be notified as required by laws and administrative regulations. Personal information processors should also take the following measures to ensure that personal information processing activities comply with laws and administrative regulations based on the processing purpose, processing methods, types of personal information, impact on personal rights and interests, and possible security risks, etc., and to prevent unauthorized access and personal information leakage, tampering, and loss: (i) formulate internal management systems and operating procedures; (ii) implement classified management of personal information; (iii) adopt corresponding security technical measures such as encryption and de-identification; (iv) reasonably determine the operating authority for personal information processing, and regularly conduct safety education and training for practitioners; (v) formulate and organize the implementation of emergency plans for personal information security incidents; and (vi) other measures stipulated by laws and administrative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personal information is processed in violation of the provisions of the Personal Information Protection Law, or the processing of personal information fails to fulfil the personal information protection obligations hereunder, the department performing personal information protection duties shall order corrections, give warnings, confiscate illegal gains, and apply programs for illegal processing of personal information, order to suspend or terminate the provision of services; if the personal information processor refuses to make corrections, a fine of not more than RMB1 million shall be imposed; the directly responsible person in charge and other directly responsible personnel shall be fined not less than RMB10,000 but not more than RMB100,000. If the aforesaid illegal act and the circumstances are serious, the department performing personal information protection duties at or above the provincial level shall order the personal information processor to make corrections, confiscate the illegal gains, and impose a fine of less than 50 million RMB or less than 5% of the previous year’s turnover. It can also order the suspension of relevant business or suspend business for rectification, notify the relevant competent authority to revoke the relevant permits or the business license; impose a fine of RMB100,000 up to RMB1 million on the directly responsible person in charge and other directly responsible personnel, and may decide to prohibit he serves as a director, supervisor, senior manager and person in charge of personal information protection of related companies within a certain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in the PRC are principally protected under the PRC Patent Law, which was initially promulgated by the SCNPC in 1984 and was most recently amended in 2020. A patent is valid for twenty years in the case of an invention and ten years in the case of utility models and designs.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Copyrights in the PRC, including software copyrights, is principally protected under the PRC Copyright Law, which took effect in 1991 and was most recently amended in 2020 and other related rules and regulations. Under the PRC Copyright Law, the term of protection for software copyrights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trademarks are protected under the PRC Trademark Law, which was adopted by the SCNPC in 1982 and most recently amended in 2019, as well as the Implementation Regulations of the PRC Trademark Law adopted by the State Council in 2002 and most recently amended in 2014 and other related rules and regulations. The State Intellectual Property Office, formerly known as the Trademark Office of the State Administration for Industry and Commerce, handles trademark registrations and grants a protection term of ten years to registered trademarks and the term may be renewed for another ten-year period upon request by the trademark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Domain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Domain names are protected under the Administrative Measures on Internet Domain Names promulgated by the MIIT on August 24, 2017, and effective since November 1, 2017. Domain name registrations are handled through domain name service agencies established under the relevant regulations, and applicants become domain name holders upon successful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Environmental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Protection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Protection Law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other public hazards and safeguarding people’s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provisions of the Environmental Protection Law, in addition to other relevant laws and regulations of the PRC, the Ministry of Environmental Protection and its local counterparts take charge of administering and supervising said environmental protection matters. Pursuant to the Environmental Protection Law, the environmental impact statement on any construction project must assess the pollution that the project is likely to produce and its impact on the environment, and stipulate preventive and curative measures; the statement shall be submitted to the competent administrative department of environmental protection for approval. Installations for the prevention and control of pollution in construction projects must be designed, built and commissioned together with the principal part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Permission to commence production at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Protection Law makes it clear that the legal liabilities of any violation of said law include warning, fine, rectification within a time limit, compulsory cease operation, compulsory reinstallation of dismantled installations of the prevention and control of pollution or compulsory reinstallation of those left idle, compulsory shutout or closedown, or even criminal punishment.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are not aware of any warning, investigations, prosecutions, disputes, claims or other proceedings in respect of environmental protection, nor have we been punished or can foresee any punishment to be made by any government authorities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Disposal of Hazardous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Law on the Prevention and Control of Environmental Pollution Caused by Solid Waste, which was promulgated by the SCNPC in 1995 and was latest amended on April 29, 2020, entities generating hazardous waste shall store, utilize and dispose hazardous waste according to the relevant requirements of the state and environmental protection standards, and shall not dump or pile up hazardous waste without authorization. Furthermore, it is forbidden to entrust hazardous waste to entities without a permit for disposal, or else the competent ecological and environmental authorities shall order it to make rectification, impose fines, confiscate illegal gains, and in serious circumstance, order it to suspend business or close down upon the approval of the government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Urban Drainage and Sewage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Regulation on Urban Drainage and Sewage Treatment, which was promulgated by the State Council in 2013, and the Measures for the Administration of Permits for Discharging Urban Sewage into the Drainage Pipeline, which was promulgated by the Ministry of Housing and Urban-Rural Development in 2015, enterprises, institutions and individually-owned businesses engaging in industry, construction, food and beverage, medical service and other activities which discharge sewage into urban drainage facilities shall apply to the competent urban drainage authorities for a permit for sewage discharge into the drainage pipe network, or the Drainage Permit. Discharging sewage into urban drainage facilities without obtaining a Drainage Permit shall be ordered by the relevant urban drainage authority to suspend illegal activities, take remedial measures within a time limit, re-apply the Drainage Permit, and may impose a fine of less than RMB500,000.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Consumer Rights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Consumer Rights and Interests Protection Law, as promulgated on October 31, 1993, and most recently amended in 2013 by the Standing Committee of the National People’s Congress of China, or the SCNPC, imposes stringent requirements and obligations on business operators. Failure to comply with the consumer protection requirements could subject the business operators to administrative penalties including warning, confiscation of illegal income, imposition of fines, an order to cease business operations, revocation of business licenses, as well as potential civil or criminal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Related to Foreign Exchange and Dividend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on Foreign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foreign currency exchange in China are the Foreign Exchange Administration Regulations, as most recently amended in 2008. Under PRC foreign exchange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2012, SAFE promulgated the Circular of Further Improving and Adjusting Foreign Exchange Administration Policies on Foreign Direct Investment, or Circular 59, which substantially amends and simplifies the previous foreign exchange procedure. Pursuant to Circular 59, the opening and deposit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promulgated the Notice on Promulgation of the Provisions on Foreign Exchange Control on Direct Investments in China by Foreign Investors and Supporting Documents, which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conduct the registration and perform statistical monitoring and reporting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allows all foreign-invested enterprises established in the PRC to settle their foreign exchange capital on a discretionary basis according to the actual needs of their business operation, provides the procedures for foreign invested companies to use RMB converted from foreign currency-denominated capital for equity investments and removes certain other restrictions under previous rules and regulations.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in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stamp with the outward remittance sum and date on the original copies of tax filing records,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SAFE issued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with genuine investment projects and in compliance with effective foreign investment restrictions and other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on Dividend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dividends distributions by companies include the PRC Company Law, the Foreign Invested Enterprise Law and its implementing rules. Under these laws and regulations, both domestic companies and foreign-invested companies in the PRC are required to set aside as general reserves at least 10% of their after-tax profit, until the cumulative amount of their reserves reaches 50% of their registered capital unless the laws and regulations regarding foreign investment provide otherwise. PRC companies are not permitted to distribute any profits until any losses from prior fiscal years have been offset. Profits retained from prior fiscal years may be distributed together with distributable profits from the current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2007, the SCNPC promulgated the Enterprise Income Tax Law of the PRC which was amended on December 29, 2018, February 24, 2017; and on December 6, 2007, the State Council enacted the Regulations for the Implementation of the Enterprise Income Tax Law, or collectively, the EIT Law.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Regulations of the PRC on Value-added Tax were promulgated by the State Council on December 13, 1993, and came into effect on January 1, 1994, which were subsequently amended from time to time. The Detailed Rules for the Implementation of the Provisional Regulations of the PRC on Value-added Tax (Revised in 2011) was promulgated by the MOF on December 25, 1993, and subsequently amended on December 15, 2008 and October 28, 2011, or collectively, VAT Law. On November 19, 2017, the State Council promulgated the Decisions on Abolishing the Provisional Regulations of the PRC on Business Tax and Amending the Provisional Regulations of the PRC on Value-added Tax, or the Order 691. According to the VAT Law and the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13%, 9%,6% and 0%, and the VAT tax rate applicable to the small-scale taxpayers is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EIT Law and the EITIR, dividends paid by foreign-invested companies to their foreign investors that are non-resident enterprises as defined under the law are subject to withholding tax at a rate of 10%, unless otherwise provided in the relevant tax agreements entered into with the central government of the PRC. Pursuant to the Arrangement Between the Mainland of China and the Hong Kong Special Administrative Region for the Avoidance of Double Taxation and the Prevention of Fiscal Evasion with respect to Taxes on Income promulgated on 21 August 2006, if a Hong Kong resident enterprise is determined by the competent PRC tax authority to have satisfied the relevant conditions and requirements under such tax arrangement, the withholding tax rate on the dividends the Hong Kong resident enterprise receives from a PRC resident enterprise may be reduced to 5% from 10% applicable under the EIT Law and the EITIR. However, based on the Notice of the State Administration of Taxation on Certain Issues with Respect to the Enforcement of Dividend Provisions in Tax Treaties promulgated by the SAT and effective on 20 February 2009, if the relevant PRC tax authorities determine, in their discretion, that a company benefits from such reduced income tax rate due to a structure or arrangement that is primarily tax-driven, such PRC tax authorities may adjust the preferential tax treatment. Furthermore, in October 2019, the SAT promulgated the Administrative Measures for Non-Resident Taxpayers to Enjoy Treaty Treatments (the “Circular 35”), which became effective on 1 January 2020 and superseded the Administrative Measures for Non-Resident Enterprises to Enjoy Treatments under Tax Treaties promulgated in 2015. The Circular 35 abolished the record-filing procedure for justifying the tax treaty eligibility of taxpayers, and stipulates that non-resident taxpayers can enjoy tax treaty benefits via the “self-assessment of eligibility, claiming treaty benefits, retaining documents for inspection” mechanism.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Non-resident taxpayers can claim tax treaty benefits after self-assessment provided that relevant supporting documents shall be collected and retained for post-filing inspection by the tax authorities. Based on the Notice of the State Administration of Taxation on the Recognition of Beneficial Owners in Tax Treaties, which was promulgated by SAT on 3 February 2018 and came into effect on 1 April 2018, a comprehensive analysis will be used to determine beneficial ownership based on the actual situation of a specific case combined with certain principles, and if an applicant was obliged to pay more than 50% of its income to a third country (region) resident within 12 months of the receipt of the income, or the business activities undertaken by an applicant did not constitute substantive business activities including substantive manufacturing, distribution, management and other activities, the applicant was unlikely to be recognized as an beneficial owner to enjoy tax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 on Indirect Transfer of Non-Resident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10 December 2009, the SAT issued the Notice on Strengthening the Administration of Enterprise Income Tax on Equity Transfers of Non-resident Enterprises (the “Circular 698”). By promulgating and implementing the Circular 698, the PRC tax authorities have enhanced their scrutiny over the indirect transfer of equity interests in a PRC resident enterprise by a non-resident enterprise. The SAT further issued the Public Announcement on Several Issues Concerning Enterprise Income Tax for Indirect Transfer of Assets by Non-Resident Enterprises (the “Circular 7”) on 3 February 2015, which replaces certain provisions in the Circular 698. The Circular 7 introduces a new tax regime that is significantly different from that under the Circular 698. The Circular 7 extends its tax jurisdiction to capture not only indirect transfer as set forth under the Circular 698 but also transactions involving transfer of immovable property in China and assets held under the establishment and place, in China of a foreign company through the offshore transfer of a foreign intermediate holding company. The Circular 7 also provides clearer criteria than the Circular 698 on how to assess reasonable commercial purposes and introduces safe harbor scenarios applicable to internal group restructurings. Where a non-resident enterprise indirectly transfers equity interests or other assets of a PRC resident enterprise by implementing arrangements that are not for reasonable commercial purposes to avoid its obligation to pay enterprise income tax, such an indirect transfer shall, in accordance with the EIT Law, be recognized by the competent PRC tax authorities as a direct transfer of equity interests or other assets of the PRC resident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17 October 2017, the SAT promulgated the Announcement on Matters Concerning Withholding and Payment of Income Tax of Non-resident Enterprises from Source (the “SAT Circular 37”), which came into force and replace the Circular 698 and certain provisions in the Circular 7 on 1 December 2017 and was partly amended on 15 June 2018. The SAT Circular 37, among other things, simplifies the procedures of withholding and payment of income tax levied on non-resident enterprises. Pursuant to SAT Circular 37, where the party responsible for withholding such income tax did not, or was unable to, withhold the taxes that should have been withheld to the relevant tax authority, the party may be subject to penalties. Where the non-resident enterprise receiving such income failed to declare and pay taxes that should have been withheld to the relevant tax authority, the party may be ordered to rectify within a specific time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Employment, Social Insurance and Housing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Labor Law, which was promulgated in 1994 and most recently amended in 2018, and the PRC Labor Contract Law, which was promulgated on June 29, 2007 and amended on December 28, 2012, employers must execute written labor contracts with full-time employees. All employers must comply with local minimum wage standards. Violations of the PRC Labor Contract Law and the PRC Labor Law may result in the imposition of fines and other administrative and criminal liability in the case of serious violations. In addition, according to the PRC Social Insurance Law implemented on July 1, 2011 and most recently amended on December 29, 2018 and the Regulations on the Administration of Housing Funds, which was promulgated by the State Council in 1999 and most recently amended in 2019, employers in China must provide employees with welfare schemes covering pension insurance, unemployment insurance, maternity insurance, work-related injury insurance, and medical insurance and housing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M&amp;A Rules and Overseas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the MOFCOM, the State-owned Assets Supervision and Administration Commission of the State Council, the SAT, the SAIC, China Securities Regulatory Commission (the “CSRC”) and the SAFE, issued the Regulations on Merger with and Acquisition of Domestic Enterprises by Foreign Investors (the “M&amp;A Rules”), which took into effect on September 8, 2006 and was amended by the MOFCOM on June 22, 2009. The M&amp;A Rules, among other things, require that if an overseas company established or controlled by PRC companies or individuals intends to acquire equity interests or assets of any other PRC domestic company affiliated with such PRC companies or individuals, such acquisition must be submitted to MOFCOM for approval. The M&amp;A Rules also require offshore special purpose vehicles formed for overseas listing purposes through acquisitions of PRC domestic companies and controlled by PRC companies or individuals, to obtain the approval of CSRC prior to publicly listing their securities on an overseas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FIL and its implementation regulations became effective on January 1, 2020, the provisions of the M&amp;A Rules remain effective to the extent they are not inconsistent with the FIL and its implementation regulations. According to the Anti-Monopoly Law which took effect as at August 1, 2008, where the concentration of business operators reaches the filing thresholds stipulated by the State Council, business operators shall file a declaration with the SAMR, and no concentration shall be implemented until the SAMR clears the anti-monopoly filing. Pursuant to the Notice of the General Office of the State Council on the Establishment of the Security Review System for Mergers and Acquisitions of Domestic Enterprises by Foreign Investors and the Security Review Rules issued by the General Office of the State Council on February 3, 2011 and became effective on March 3,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PRC government authorities. On August 25, 2011, the MOFCOM issued the Provisions of the Ministry of Commerce for the Implementation of the Security Review System for Mergers and Acquisitions of Domestic Enterprises by Foreign Investors, which provides that if a foreign investor’s merger or acquisition of a domestic enterprise falls within the scope of security review specified in the Notice of the General Office of the State Council on the Establishment of the Security Review System for Mergers and Acquisitions of Domestic Enterprises by Foreign Investors, the foreign investor shall file an application with MOFCOM for security review. Whether a foreign investor’s merger or acquisition of a domestic enterprise falls within the scope of security review or not shall be determined based on the substance and actual influence of the merger or acquisition transaction. No foreign investor is allowed to substantially avoid the security review in any way, including but not limited to, holding shares on behalf of others, trust arrangements, multi-level reinvestment, leasing, loans, contractual control, or overseas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issued the Trial Administrative Measures of Overseas Securities Offering and Listing by Domestic Companies, or the Overseas Listing Trial Measures, which came into effect on March 31, 2023. Pursuant to the Overseas Listing Trial Measures, domestic companies that seek to offer or list securities overseas, either in directly or indirectly means, should fulfill the filing requirement and submit relevant information to the CSRC within three working days after making initial applications with overseas stock markets for initial public offerings or listings, or after the completion of issuance of overseas listed securities by the overseas listed issuer. For the initial public offerings or listings applicants, the required filing materials with the CSRC include (without limitation): (i) record-filing reports and related undertakings, (ii) compliance certificates, filing, or approval documents from the primary regulators of the applicants’ businesses (if applicable), (iii) security assessment opinions issued by related departments (if applicable), (iv) PRC legal opinions, and (v) the prospectus; while for overseas listed issuers who issue overseas listed securities, the required filing materials with the CSRC include (without limitation): (i) record-filing reports and related undertakings and (ii) PRC legal opinions.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overseas offerings and listings may be prohibited for such China-based companies under any of the following circumstances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securities offering and listing is suspected of committing crimes or major violations of laws and regulations, and is under investigation according to law, and no conclusion has yet been made thereof; or (v) where there are material ownership disputes over equity held by the domestic company’s controlling shareholder or by other shareholders that are controlled by the controlling shareholder and/or actual controller. The Overseas Listing Trial Measures further stipulate that a fine between RMB1 million and RMB10 million may be imposed if an applicant fails to fulfill the filing requirements with the CSRC or conducts an overseas offering or listing in violation of the Overseas Listing Trial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Notice on the Administrative Arrangements for the Filing of the Overseas Securities Offering and Listing by Domestic Companies from the CSRC, or the CSRC Notice, the domestic companies that have already been listed overseas before the effective date of the Overseas Listing Trial Measures (i.e. March 31, 2023) shall be deemed as existing issuers (the “Existing Issuers”). Existing Issuers are not required to complete the filing procedures immediately, and they shall be required to file with the CSRC for subsequent offerings. Further, according to the CSRC Notice, domestic companies that have obtained approval from overseas regulatory authorities or securities exchanges (for example, the effectiveness of a registration statement for offering and listing in the U.S. has been obtained) for their overseas offerings and listings prior to March 31, 2023, but have not yet completed their overseas issuance and listing, are granted a six-month transition period from March 31, 2023 to September 30, 2023. Those who complete their overseas offering and listing within such six-month period are deemed as Existing Issuers and are not required to file with the CSRC for their overseas offering and listing. Within such six-month transition period, however, if such domestic companies fail to complete their overseas offering and listing, they shall complete the filing procedures with the CSRC.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 A. 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 Property, Plants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 B. Business Overview —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the related notes included elsewhere in this annual report. This discussion contains forward-looking statements reflecting our current expectations that involve risks and uncertainties. See “Special Note Regarding Forward-Looking Statements” for a discussion of the uncertainties, risks, and assumptions associated with these statements. Actual results and the timing of events could differ materially from those discussed in our forward-looking statements as a result of many factors, including those set forth under “Risk Factors” and elsewhere in this annual report.</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45"/>
        <w:gridCol w:w="16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commencement of operations in 2013, we have principally engaged in the provision of vehicle sourcing services in China. In addition to our vehicle sourcing service, we aspire to becoming an EV market player primarily focused on UOTTA technology, which is an intelligent modular battery-swapping technology designed to provide a comprehensive battery power solution for EVs. As a vehicle sourcing service provider, we broker sales of vehicles between automobile wholesalers and buyers, including SME dealers and individual customers primarily located in the lower-tier cities in China. To that end, we have focused on building business relationships with our sourcing partners and have developed a vehicle sourcing network. As of the date of this annual report, our vehicle sourcing network consisted of approximately 100 wholesalers and 30 SME dealers located in lower-tier cities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2020, we gradually shifted our focus from the vehicle sourcing business to the development of our proprietary battery-swapping technology, or UOTTA technology. Through our research and development efforts, we have developed an intellectual property portfolio centered on our UOTTA technology. Our plan is to develop a comprehensive EV battery power solution based on UOTTA technology, including: (i) UOTTA-powered EVs, which we jointly develop with two major automobile manufacturers in China by adapting selected EV models with our UOTTA technology; (ii) UOTTA battery swapping stations, which are compatible with our UOTTA-powered EVs; and (iii) a UOTTA data management platform which collects and synchronizes real-time information that connects UOTTA-powered EVs with UOTTA battery-swapping stations.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2023, 2024 and 2025, our total revenues were RMB19.8 million, RMB44.3 million and RMB41.1 million (US$5.9 million), respectively. Revenue in fiscal year 2025 remained stable compared to revenue in fiscal year 2024. The increased revenue in fiscal year 2024 was primarily due to the increased product sales of battery swapping stations which had been completed in our established market regions in fiscal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have been, and are expected to continue to be, affected by various factors, which primarily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market</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affecting our operations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China’s macroeconomic conditions, the growth of China’s overall auto market, the commercial EV market and the government policy on promoting the electrification of commercial vehicles;</w:t>
            </w:r>
          </w:p>
        </w:tc>
      </w:tr>
    </w:tbl>
    <w:p>
      <w:pPr>
        <w:pStyle w:val="TextBody"/>
        <w:bidi w:val="0"/>
        <w:spacing w:before="0" w:after="0"/>
        <w:ind w:left="960" w:right="0" w:hanging="48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68"/>
        <w:gridCol w:w="200"/>
        <w:gridCol w:w="72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penetration rate of EVs and battery-swapping stations in China’s commercial EV market;</w:t>
            </w:r>
          </w:p>
        </w:tc>
      </w:tr>
    </w:tbl>
    <w:p>
      <w:pPr>
        <w:pStyle w:val="TextBody"/>
        <w:bidi w:val="0"/>
        <w:spacing w:before="0" w:after="0"/>
        <w:ind w:left="960" w:right="0" w:hanging="48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68"/>
        <w:gridCol w:w="200"/>
        <w:gridCol w:w="9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and customer acceptance and demand, of UOTTA-powered EVs and battery-swapping stations; and</w:t>
            </w:r>
          </w:p>
        </w:tc>
      </w:tr>
    </w:tbl>
    <w:p>
      <w:pPr>
        <w:pStyle w:val="TextBody"/>
        <w:bidi w:val="0"/>
        <w:spacing w:before="0" w:after="0"/>
        <w:ind w:left="960" w:right="0" w:hanging="48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68"/>
        <w:gridCol w:w="200"/>
        <w:gridCol w:w="79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 policies and regulations on the EV and battery-swapping station industries in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cooperation with auto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UOTTA technology is in the process of being adapted to commercial-use electric vehicles, by cooperating with major auto manufacturers in China. We have entered into cooperating agreements with two car manufacturers to jointly develop the UOTTA-powered EV models. We expect that the expertise and industry know-how of such manufacturers will guide us in our efforts in entering the commercial EV market. We believe that we are able to develop such relationships with these major manufacturers, due to our distinct industry experience, research and development capabilities, and industry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attract new customers and grow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is critical to the continued success and growth of our business. Appropriate pricing is essential for us to remain competitive in the China automotive market, while preserving our ability to achieve and maintain profitability in the future. Our ability to attract new customers also depends on the scale and efficiency of our sales network and marketing channels. We seek to attract new customers cost-efficiently by engaging in various marketing activities. Enhanced customer satisfaction will help to drive word-of-mouth referrals, which we expect may reduce our customer acquisition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deliver our UOTTA-powered EV and battery-swapping stations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UOTTA-powered EV models and battery-swapping stations, and to provide battery-swapping services will be an important contributor to our future growth. As of the date of this report, we are jointly developing our UOTTA-powered EV models with car manufacturers and have launched two models of UOTTA battery-swapping stations, Titan and Chipbox, by cooperating with one battery-swapping station manufacturer in China. We expect our revenue growth to be driven in part by the launch of our UOTTA-powered EV and expansion of our battery-swapping stations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innovate and retain talents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focus on technological innovations and to continue developing and upgrading our proprietary UOTTA technology. Accordingly, we dedicate significant resources to research and development, and our research and development staff accounted for 12.6% of our total employees as of the date of this report. We expect our strategic focus on innovations to further differentiate us from our competitors, which may in turn enhance our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 of COVID-19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has caused a significant impact on the Chinese and global economy from early 2020 to 2022. Until the end of 2022, the PRC government placed significant restrictions on traveling within China, which disrupted operations of many manufacturing facilities along with supply chains. Although we resumed normal business operations in 2022, we experienced certain disruptions on our operations in the fiscal year ended December 31, 2022, because a substantial number of the Small and Medium Enterprise dealers in our sourcing network were negatively impacted in terms of normal operation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disruptions, some of our projects had to be postponed. In particular, we experienced the following with certain projects: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installation and operation of the three UOTTA battery-swapping stations sold in the fiscal years of 2021 and 2022 had to be postponed due to the extended lock-down and self-quarantine policies in China;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development and launch of UOTTA-powered EV models were significantly delayed because we could not effectively communicate or advance our cooperation with cooperating manufacturers, resulting from the extended lock-down and self-quarantine policies in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2022, the joint prevention and control mechanism of the State Council of China issued the Notice on Further Optimizing the Implementation of Covid Prevention and Control Measures, stipulating that the control measures for epidemic prevention are gradually reduced. On May 5, 2023, the World Health Organization declared that COVID-19 is now an established and ongoing health issue which no longer constitutes a public health emergency of international concern. For fiscal year 2025, the impact of Covid-19 on our business operations was immaterial. However, the extent of the impact of COVID-19 on our future financial results will be dependent on future developments, such as the length and severity of COVID-19, its potential resurgence, future government actions in response to, and the overall impact of, COVID-19 on the global economy and capital markets, among many other factors, all of which remain highly uncertain and unpredictable. Given this uncertainty, we are currently unable to predict or quantify any further anticipated impact of COVID-19 on our future operations,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Performance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revenues, in absolute amounts and percentages of total revenues for the years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0"/>
        <w:gridCol w:w="90"/>
        <w:gridCol w:w="90"/>
        <w:gridCol w:w="710"/>
        <w:gridCol w:w="90"/>
        <w:gridCol w:w="90"/>
        <w:gridCol w:w="90"/>
        <w:gridCol w:w="590"/>
        <w:gridCol w:w="90"/>
        <w:gridCol w:w="90"/>
        <w:gridCol w:w="90"/>
        <w:gridCol w:w="710"/>
        <w:gridCol w:w="90"/>
        <w:gridCol w:w="90"/>
        <w:gridCol w:w="90"/>
        <w:gridCol w:w="590"/>
        <w:gridCol w:w="90"/>
        <w:gridCol w:w="90"/>
        <w:gridCol w:w="90"/>
        <w:gridCol w:w="710"/>
        <w:gridCol w:w="90"/>
        <w:gridCol w:w="90"/>
        <w:gridCol w:w="90"/>
        <w:gridCol w:w="590"/>
        <w:gridCol w:w="90"/>
        <w:gridCol w:w="90"/>
        <w:gridCol w:w="90"/>
        <w:gridCol w:w="590"/>
        <w:gridCol w:w="135"/>
      </w:tblGrid>
      <w:tr>
        <w:trPr/>
        <w:tc>
          <w:tcPr>
            <w:tcW w:w="3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35" w:type="dxa"/>
            <w:tcBorders/>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0" w:type="dxa"/>
            <w:gridSpan w:val="2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 except for percentages)</w:t>
            </w:r>
          </w:p>
        </w:tc>
        <w:tc>
          <w:tcPr>
            <w:tcW w:w="135"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Sourcing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35" w:type="dxa"/>
            <w:tcBorders/>
            <w:shd w:fill="CCEEFF" w:val="clear"/>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w:t>
            </w:r>
          </w:p>
        </w:tc>
        <w:tc>
          <w:tcPr>
            <w:tcW w:w="135"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Battery-swapping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Two-wheeled vehicle battery-swapping services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35"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vehicle sourcing services, products sales of battery-swapping stations, battery-swapping services and two-wheeled vehicle battery-swapping services. Battery-swapping services revenues represent the revenues generated from providing battery swapping services for vehicle drivers, and station control system upgrading services for battery-swapping station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vehicle sourcing business, we charge our customers for the service we provide in connection with their purchases of vehicles, where we are generally acting as an agent, and our performance obligation is to purchase the specified vehicles for our customers. We charge the customers a commission that is calculated based on the purchase price of each purchase order. Vehicle sourcing service fee revenues are recognized on a net basis at the point in time when the service of purchase of the specified vehicles for our customers is completed, i.e., the specified vehicle for our customers is delivered. Payments are typically received in advance until delivery, at which point the receipt in advance from customers is offset with the prepayment to the supplier and the difference representing the commission is recognized as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battery sourcing service, we sell vehicle batteries. Once the needs are identified from the drivers, we order from suppliers, and the batteries are directly couriered to customers by the suppliers, operating on an individual customer basis on the demand side. As we are able to fully decide the selling price, and have the right to decide to recall the product and cease the transaction prior to the delivery of the battery to the customer, we are able to control relevant risk and benefit during the whole service, acting as the principal. The total amount received from customers is recognized as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sales of battery swapping stations. We identify the users who purchase battery swapping stations as our customers. The revenue for battery swapping station sales is recognized at a point in time when the control of the product is transferred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Battery-swapping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providing battery swapping services for vehicle drivers and station control system upgrading services for battery-swapping station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Two-wheeled vehicle battery-swapping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a new business in 2024. By providing battery swap cabinets, two-wheeled vehicle drivers can perform self-service battery swaps. We charge the drivers a certain amount as revenue from the rent of battery.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revenues by category, both in absolute amount and as a percentage of the total cost of revenues, for the years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0"/>
        <w:gridCol w:w="90"/>
        <w:gridCol w:w="90"/>
        <w:gridCol w:w="590"/>
        <w:gridCol w:w="90"/>
        <w:gridCol w:w="90"/>
        <w:gridCol w:w="90"/>
        <w:gridCol w:w="590"/>
        <w:gridCol w:w="90"/>
        <w:gridCol w:w="90"/>
        <w:gridCol w:w="90"/>
        <w:gridCol w:w="710"/>
        <w:gridCol w:w="90"/>
        <w:gridCol w:w="90"/>
        <w:gridCol w:w="90"/>
        <w:gridCol w:w="590"/>
        <w:gridCol w:w="90"/>
        <w:gridCol w:w="90"/>
        <w:gridCol w:w="90"/>
        <w:gridCol w:w="710"/>
        <w:gridCol w:w="90"/>
        <w:gridCol w:w="90"/>
        <w:gridCol w:w="90"/>
        <w:gridCol w:w="590"/>
        <w:gridCol w:w="90"/>
        <w:gridCol w:w="90"/>
        <w:gridCol w:w="90"/>
        <w:gridCol w:w="590"/>
        <w:gridCol w:w="135"/>
      </w:tblGrid>
      <w:tr>
        <w:trPr/>
        <w:tc>
          <w:tcPr>
            <w:tcW w:w="3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8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35"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80" w:type="dxa"/>
            <w:gridSpan w:val="2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 except for percentages)</w:t>
            </w:r>
          </w:p>
        </w:tc>
        <w:tc>
          <w:tcPr>
            <w:tcW w:w="135" w:type="dxa"/>
            <w:tcBorders/>
            <w:vAlign w:val="center"/>
          </w:tcPr>
          <w:p>
            <w:pPr>
              <w:pStyle w:val="TableContents"/>
              <w:bidi w:val="0"/>
              <w:spacing w:before="0" w:after="283"/>
              <w:ind w:left="0" w:right="0" w:hanging="180"/>
              <w:jc w:val="left"/>
              <w:rPr/>
            </w:pPr>
            <w:r>
              <w:rPr/>
              <w:t> </w:t>
            </w:r>
          </w:p>
        </w:tc>
      </w:tr>
      <w:tr>
        <w:trPr/>
        <w:tc>
          <w:tcPr>
            <w:tcW w:w="3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Costs of sourcing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Costs of product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w:t>
            </w:r>
          </w:p>
        </w:tc>
        <w:tc>
          <w:tcPr>
            <w:tcW w:w="135" w:type="dxa"/>
            <w:tcBorders/>
            <w:vAlign w:val="center"/>
          </w:tcPr>
          <w:p>
            <w:pPr>
              <w:pStyle w:val="TableContents"/>
              <w:bidi w:val="0"/>
              <w:spacing w:before="0" w:after="283"/>
              <w:ind w:left="0" w:right="0" w:hanging="180"/>
              <w:jc w:val="left"/>
              <w:rPr/>
            </w:pPr>
            <w:r>
              <w:rPr/>
              <w:t> </w:t>
            </w:r>
          </w:p>
        </w:tc>
      </w:tr>
      <w:tr>
        <w:trPr/>
        <w:tc>
          <w:tcPr>
            <w:tcW w:w="3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Costs of battery-swapping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two-wheeled vehicle battery-swapping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35" w:type="dxa"/>
            <w:tcBorders/>
            <w:vAlign w:val="center"/>
          </w:tcPr>
          <w:p>
            <w:pPr>
              <w:pStyle w:val="TableContents"/>
              <w:bidi w:val="0"/>
              <w:spacing w:before="0" w:after="283"/>
              <w:ind w:left="0" w:right="0" w:hanging="180"/>
              <w:jc w:val="left"/>
              <w:rPr/>
            </w:pPr>
            <w:r>
              <w:rPr/>
              <w:t> </w:t>
            </w:r>
          </w:p>
        </w:tc>
      </w:tr>
      <w:tr>
        <w:trPr/>
        <w:tc>
          <w:tcPr>
            <w:tcW w:w="3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costs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33,827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products sales mainly include the costs of sales of batter-swapping stations, which primarily include semi-finished goods purchased from suppliers, labor costs and manufacturing costs, mainly including depreciation of assets associated with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battery-swapping services mainly include the electric charge costs and the rental costs of batteries for battery swapping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two-wheeled vehicle battery-swapping services mainly include the operator’s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 costs primarily include the taxes and surcharges costs in accordance with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operating expenses, both in absolute amount and as a percentage of the total operating expenses, for the years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0"/>
        <w:gridCol w:w="90"/>
        <w:gridCol w:w="90"/>
        <w:gridCol w:w="710"/>
        <w:gridCol w:w="90"/>
        <w:gridCol w:w="90"/>
        <w:gridCol w:w="90"/>
        <w:gridCol w:w="590"/>
        <w:gridCol w:w="90"/>
        <w:gridCol w:w="90"/>
        <w:gridCol w:w="90"/>
        <w:gridCol w:w="710"/>
        <w:gridCol w:w="90"/>
        <w:gridCol w:w="90"/>
        <w:gridCol w:w="90"/>
        <w:gridCol w:w="590"/>
        <w:gridCol w:w="90"/>
        <w:gridCol w:w="90"/>
        <w:gridCol w:w="90"/>
        <w:gridCol w:w="710"/>
        <w:gridCol w:w="90"/>
        <w:gridCol w:w="90"/>
        <w:gridCol w:w="90"/>
        <w:gridCol w:w="710"/>
        <w:gridCol w:w="90"/>
        <w:gridCol w:w="90"/>
        <w:gridCol w:w="90"/>
        <w:gridCol w:w="590"/>
        <w:gridCol w:w="135"/>
      </w:tblGrid>
      <w:tr>
        <w:trPr/>
        <w:tc>
          <w:tcPr>
            <w:tcW w:w="3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2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35"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20" w:type="dxa"/>
            <w:gridSpan w:val="2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 except for percentages)</w:t>
            </w:r>
          </w:p>
        </w:tc>
        <w:tc>
          <w:tcPr>
            <w:tcW w:w="135" w:type="dxa"/>
            <w:tcBorders/>
            <w:vAlign w:val="center"/>
          </w:tcPr>
          <w:p>
            <w:pPr>
              <w:pStyle w:val="TableContents"/>
              <w:bidi w:val="0"/>
              <w:spacing w:before="0" w:after="283"/>
              <w:ind w:left="0" w:right="0" w:hanging="180"/>
              <w:jc w:val="left"/>
              <w:rPr/>
            </w:pPr>
            <w:r>
              <w:rPr/>
              <w:t> </w:t>
            </w:r>
          </w:p>
        </w:tc>
      </w:tr>
      <w:tr>
        <w:trPr/>
        <w:tc>
          <w:tcPr>
            <w:tcW w:w="3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w:t>
            </w:r>
          </w:p>
        </w:tc>
        <w:tc>
          <w:tcPr>
            <w:tcW w:w="135" w:type="dxa"/>
            <w:tcBorders/>
            <w:vAlign w:val="center"/>
          </w:tcPr>
          <w:p>
            <w:pPr>
              <w:pStyle w:val="TableContents"/>
              <w:bidi w:val="0"/>
              <w:spacing w:before="0" w:after="283"/>
              <w:ind w:left="0" w:right="0" w:hanging="180"/>
              <w:jc w:val="left"/>
              <w:rPr/>
            </w:pPr>
            <w:r>
              <w:rPr/>
              <w:t> </w:t>
            </w:r>
          </w:p>
        </w:tc>
      </w:tr>
      <w:tr>
        <w:trPr/>
        <w:tc>
          <w:tcPr>
            <w:tcW w:w="3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impairment of long-lived assets and long-term investment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3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expected credit loss do</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68,452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primarily consist of (i) employee compensation, including salaries, benefits and bonuses for our general corporate staff; (ii) professional service fees; (iii) depreciation for office equipment; (iv) operating and lease expenses for our offices; (v) office utilities; and (vi) certain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are mainly driven by the number of our sales, general corporate personnel, marketing and promotion activities and the expansion of our sales and service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personnel-related costs directly associated with research and development. Our research and development expenses are related to enhancing and developing UOTTA technology for our existing products and new product development. We expense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are mainly driven by the number of our research and development personnel, as well as the stage and scale of our UOTTA-powered EVs and battery-swapping stations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expected credit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allowance for expected credit loss primarily consists of the provision of expected credit losses for accounts receivable, advance to suppliers and other current assets after estimating that the collection for the full amount is no longer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the British Virgin Islands are not subject to tax on income or capital gains under the current laws of the British Virgin Islands. There are currently no withholding taxes in the BVI applicable to these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Hong Kong, are subject to a two-tiered income tax rate for their taxable income earned in Hong Kong. The first HK$2 million of profits earned by a company is subject to be taxed at an income tax rate of 8.25%, while the remaining profits will continue to be taxed at the existing tax rate of 16.5%. No provision for Hong Kong profits tax has been made in the consolidated financial statements as it has no assessable profit for the fiscal years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 the PRC are subject to Enterprise Income Tax (“EIT”) on their taxable income in accordance with the relevant EIT Law. Pursuant to the EIT Law, which became effective on March 16, 2007 and was amended on December 29, 2018, a uniform 25% enterprise income tax rate is generally applicable to both foreign-invested enterprises, or FIEs and domestic enterprises, except where a special preferential rate applies. The EIT is calculated based on the entity’s global income as determined under PRC tax laws and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dividends generated after January 1, 2008 and payable by an Foreign-invested enterprise (“FIE”) in the PRC to its foreign investors who are non-resident enterprises are subject to a 10% withholding tax, unless any such foreign investor’s jurisdiction of incorporation has a tax treaty with the PRC that provides for a different withholding arrangement. The Cayman Islands, where the Company was incorporated, does not have a tax treaty with the PRC. In accordance with the accounting guidance, all undistributed earnings are presumed to be transferred to the parent company and are subject to the withholding taxes. All FIEs are subject to the withholding tax from January 1, 2008. The presumption may be overcome if we have sufficient evidence to demonstrate that the undistributed dividends will be re-invested and the remittance of the dividends will be postponed indefinitely. We did not record any dividend withholding tax, as we have no retained earnings for any of the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 also provides that an enterprise established under the laws of a foreign country or region but whose “de facto management body” is located in the PRC be treated as a “resident enterprise” and consequently be subject to the PRC income tax at the rate of 25% for its global income. The EIT Law defines the location of the “de facto management body” as “the place where the exercising, in substance, of the overall management and control of the production and business operation, personnel, accounting, properties and others of a non-PRC company is located.” Based on a review of surrounding facts and circumstances, we do not believe that it is likely that our operations outside of the PRC will be considered a resident enterprise for PRC tax purposes. However, due to limited guidance and implementation history of the EIT Law, there is uncertainty as to the application of the EIT Law. If our holding company in the Cayman Islands or any of our subsidiaries outside of China were deemed to be a resident enterprise under the EIT Law, it would be subject to enterprise income tax on its worldwide income at a uniform enterprise income tax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years presented, both in an absolute amount and as percentages of our total revenues. This information should be read together with our consolidated financial statements and related notes included elsewhere in this report. The results of operations in any particular period is not indicative of our future trends.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0"/>
        <w:gridCol w:w="90"/>
        <w:gridCol w:w="90"/>
        <w:gridCol w:w="785"/>
        <w:gridCol w:w="125"/>
        <w:gridCol w:w="90"/>
        <w:gridCol w:w="90"/>
        <w:gridCol w:w="665"/>
        <w:gridCol w:w="125"/>
        <w:gridCol w:w="90"/>
        <w:gridCol w:w="90"/>
        <w:gridCol w:w="785"/>
        <w:gridCol w:w="125"/>
        <w:gridCol w:w="90"/>
        <w:gridCol w:w="90"/>
        <w:gridCol w:w="665"/>
        <w:gridCol w:w="125"/>
        <w:gridCol w:w="90"/>
        <w:gridCol w:w="90"/>
        <w:gridCol w:w="785"/>
        <w:gridCol w:w="125"/>
        <w:gridCol w:w="90"/>
        <w:gridCol w:w="90"/>
        <w:gridCol w:w="785"/>
        <w:gridCol w:w="125"/>
        <w:gridCol w:w="90"/>
        <w:gridCol w:w="90"/>
        <w:gridCol w:w="665"/>
        <w:gridCol w:w="170"/>
      </w:tblGrid>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5" w:type="dxa"/>
            <w:gridSpan w:val="26"/>
            <w:tcBorders/>
            <w:vAlign w:val="center"/>
          </w:tcPr>
          <w:p>
            <w:pPr>
              <w:pStyle w:val="TableContents"/>
              <w:bidi w:val="0"/>
              <w:spacing w:before="0" w:after="283"/>
              <w:jc w:val="center"/>
              <w:rPr>
                <w:b/>
              </w:rPr>
            </w:pPr>
            <w:r>
              <w:rPr>
                <w:b/>
              </w:rPr>
              <w:t>(in thousands, except for percentages)</w:t>
            </w:r>
          </w:p>
        </w:tc>
        <w:tc>
          <w:tcPr>
            <w:tcW w:w="170" w:type="dxa"/>
            <w:tcBorders/>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b/>
              </w:rPr>
            </w:pPr>
            <w:r>
              <w:rPr>
                <w:b/>
              </w:rPr>
              <w:t>Revenues</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pPr>
            <w:r>
              <w:rPr/>
              <w:t>Sourcing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Product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17,062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41,819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36,628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5,211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89.0</w:t>
            </w:r>
          </w:p>
        </w:tc>
        <w:tc>
          <w:tcPr>
            <w:tcW w:w="170"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pPr>
            <w:r>
              <w:rPr/>
              <w:t>Battery-swapping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Two-wheeled vehicle battery-swapping services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428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44,290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(7,592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(33,827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(76.4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(26,208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(3,729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(63.7</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14,917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Selling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(2,477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(2,789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(3,362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(8.2</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(41,222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(208.6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(46,910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(52,627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(7,487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(128.0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890"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(2,184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(2,985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(4,597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(11.2</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pPr>
            <w:r>
              <w:rPr/>
              <w:t>Loss on impairment of long-lived assets and long-term investment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(10,504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Allowance for expected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(5,264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(12,597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(30.6</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(49,075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(248.3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(68,452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(73,183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(10,411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(178.0</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b/>
              </w:rPr>
            </w:pPr>
            <w:r>
              <w:rPr>
                <w:b/>
              </w:rPr>
              <w:t>Operating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(36,903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(186.7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(57,989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(58,266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(8,289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(141.7</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2,829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Interest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(1,402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(0.5</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16,927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3,072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vAlign w:val="center"/>
          </w:tcPr>
          <w:p>
            <w:pPr>
              <w:pStyle w:val="TableContents"/>
              <w:bidi w:val="0"/>
              <w:spacing w:before="0" w:after="283"/>
              <w:jc w:val="left"/>
              <w:rPr/>
            </w:pPr>
            <w:r>
              <w:rPr/>
              <w:t>Other expense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(1,579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(3,325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(24,344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(3,463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(59.2</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b/>
              </w:rPr>
            </w:pPr>
            <w:r>
              <w:rPr>
                <w:b/>
              </w:rPr>
              <w:t>Loss before income tax</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(22,853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(56,362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(76,897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(10,940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(187.0</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2890" w:type="dxa"/>
            <w:tcBorders/>
            <w:vAlign w:val="center"/>
          </w:tcPr>
          <w:p>
            <w:pPr>
              <w:pStyle w:val="TableContents"/>
              <w:bidi w:val="0"/>
              <w:spacing w:before="0" w:after="283"/>
              <w:jc w:val="left"/>
              <w:rPr/>
            </w:pPr>
            <w:r>
              <w:rPr/>
              <w:t>Income tax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(2,613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(3,581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(8.7</w:t>
            </w:r>
          </w:p>
        </w:tc>
        <w:tc>
          <w:tcPr>
            <w:tcW w:w="170" w:type="dxa"/>
            <w:tcBorders/>
            <w:vAlign w:val="center"/>
          </w:tcPr>
          <w:p>
            <w:pPr>
              <w:pStyle w:val="TableContents"/>
              <w:bidi w:val="0"/>
              <w:spacing w:before="0" w:after="283"/>
              <w:ind w:left="0" w:right="0" w:hanging="180"/>
              <w:jc w:val="left"/>
              <w:rPr/>
            </w:pPr>
            <w:r>
              <w:rPr/>
              <w:t>)</w:t>
            </w:r>
          </w:p>
        </w:tc>
      </w:tr>
      <w:tr>
        <w:trPr/>
        <w:tc>
          <w:tcPr>
            <w:tcW w:w="289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(25,466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(128.9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(56,362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(127.3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(80,478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(11,449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(195.7</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2025 compared to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by approximately 7.1% from RMB44.3 million for the year ended December 31, 2024 to RMB41.1million (US$5.9 million) for the year ended December 31, 2025. The decrease was primarily due to the decreased product sales of battery swapping stations.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revenues decreased by approximately 22.5% from approximately RMB33.8 million to RMB26,2 million (US$3.7 million) for the years ended December 31, 2024 and 2025, respectively. The decrease in 2025 was primarily due to the decreased cost of product sales of battery swapping stations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set out above, our gross profit increased by approximately 33.8% from RMB10.5 million for the year ended December 31, 2024 to RMB14.9 million (US$2.1 million)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expenses increased by approximately 20.5% from RMB2.8 million for the year ended December 31, 2024 to RMB3.4 million (US$0.5 million) for the year ended December 31, 2025, primarily attributable to increased sales and marketing expenditures incurred for business expansion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approximately 12.2% from RMB46.9 million for the year ended December 31, 2024 to RMB52.6 million (US$7.5 million) for the year ended December 31, 2025. The increase was primarily driven by increased administrative personnel costs and material consumption associated with the Group’s business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significantly increased by approximately 54.0% from RMB3.0 million for the year ended December 31, 2024 to RMB4.6 million (US$0.7 million) for the year ended December 31, 2025, primarily due to the increased UOTTA technology innovation activities related to research and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loss on impairment of long-lived assets was recognized for the year ended December 31, 2025, compared to RMB10.5 million recognized for the year ended December 31, 2024. The impairment in 2024 was primarily due to the impairment of a long-unused production line and the impairment of a long-term investment resulting from the deregistration of the investee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expected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loss was recognized as RMB5.3 million and RMB12.6 million (US$1.8 million) for the years ended December 31, 2024 and 2025, respectively. The increase was primarily due to the increased impact of potential uncollectible amounts for advances to suppliers and other current assets for the year ended December 31, 2025 based on the results of our estimation of collectability with the continued improvement of receivable collection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income increased from RMB0.7 million for the year ended December 31, 2024 to RMB2.8 million for the year ended December 31, 2025, primarily due to the accrual of interest on other long-term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expenses decreased by approximately 86.6% from RMB1.4 million for the year ended December 31, 2024 to RMB0.2 million (US$0.03 million) for the year ended December 31, 2025, primarily attributable to increased expected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other income of approximately RMB5.6 million and RMB3.1 million (US$0.4 million) for the years ended December 31, 2024 and 2025, respectively. Other income in the fiscal year 2025 decreased mainly due to the reduction in government subsidies.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expenses increased from RMB3.3 million for the year ended December 31, 2024 to RMB24.3 million (US$3.5 million) for the year ended December 31, 2025, mainly due to an increase in litigation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expenses of nil and approximately RMB3.6 million for the years ended December 31, 2024 and 2025, respectively. The increase was primarily due to the increase in taxable income generated from the operations of our subsidiaries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increased by approximately 43.0% from RMB56.4 million to RMB 80.5 million (US$11.5 million) for the years ended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to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increased by approximately 124.1% from RMB19.8 million for the year ended December 31, 2023 to RMB44.3million (US$6.1 million) for the year ended at December 31, 2024. The increase was primarily due to the increased product sales of battery swapping stations which had been completed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revenues increased by approximately 345.6% from approximately RMB7.6 million to RMB33.8 million (US$4.6 million) for the years ended December 31, 2023 and 2024, respectively. The increase in 2024 was primarily due to the increased cost of product sales of battery swapping stations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set out above, our gross profit decreased by approximately 14.0% from RMB12.2 million for the year ended December 31, 2023 to RMB10.5 million (US$1.4 million) for the year ended December 31, 2024. In order to promote the sales of battery swapping stations, we have implemented a price reduction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expenses increased by approximately 12.6% from RMB2.5 million for the year ended December 31, 2023 to RMB2.8 million (US$0.4 million) for the year ended December 31, 2024, primarily attributable to increased sales and marketing expenditures incurred for business expansion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approximately 13.8% from RMB41.2 million for the year ended December 31, 2023 to RMB46.9 million (US$6.4 million) for the year ended December 31, 2024. The increase was primarily driven by increased administrative personnel costs and material consumption associated with the Group’s business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significantly increased by approximately 36.6% from RMB2.2 million for the year ended December 31, 2023 to RMB3.0 million (US$0.4 million) for the year ended December 31, 2024, primarily due to the increased UOTTA technology innovation activities related to research and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impairment of long-lived assets were recognized as RMB1.9 million and RMB10.5 million (US$1.4 million) for the years ended December 31, 2023 and 2024, respectively, primarily due to the impairment recognized of long-unused production line and the long-term investment impairment due to the deregistration of the investee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expected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loss were recognized as RMB1.2 million and RMB5.3 million (US$0.7 million) for the years ended December 31, 2023 and 2024, respectively. The increase was primarily due to the increased impact of potential uncollectible amounts for advances to suppliers and other current assets for the year ended December 31, 2024 based on the results of our estimation of collectability with the continued improvement of receivable collection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income increased from RMB0.6 million for the year ended December 31, 2023 to RMB0.7 million for the year ended December 31, 2024, primarily due to the accrual of interest on other long-term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expenses decreased by approximately 24.6% from RMB1.9 million for the year ended December 31, 2023 to RMB1.4 million (US$0.2 million) for the year ended December 31, 2024, primarily attributable to increased expected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other income of approximately RMB16.9 million and RMB5.6 million (US$0.8 million) for the years ended December 31, 2023 and 2024, respectively. Other income in the fiscal year 2024 was mainly due to the government grant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expenses increased from RMB1.6 million for the year ended December 31, 2023 to RMB3.3 million (US$0.5 million) for the year ended December 31, 2024, primarily due to the increased investment loss in the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expenses of approximately RMB2.6 million and nil for the years ended December 31, 2023 and 2024, respectively. The decrease was primarily due to the decrease of taxable income generated from operations of our subsidiaries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increased by approximately 121.3% from RMB25.5 million to RMB 56.4 million (US$7.7 million) for the years ended December 31, 2023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 of liquidity historically has been cash generated from our business operations, bank loans, equity contributions from our shareholders and borrowings, which have historically been sufficient to meet our working capital and capital expenditure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Group’s cash and cash equivalents and restricted cash were RMB24,674 and RMB22,294, (US$3,172), respectively, and the Group’s restricted cash were RMB 1,239 and RMB 343 (US$49), respectively. The Group’s cash and cash equivalents primarily consist of cash on hand and highly liquid investments placed with banks, which are unrestricted to withdrawal and use and which have original maturities of three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2021, Youxu Zibo entered into a bank facility agreement with Bank of Qishang, a commercial bank in China. The principal amount under this loan agreement is RMB10 million, bearing a weighted average interest rate of 6.87% per annum with a term of three years, and was denominated in RMB. As of December 31, 2025, Youxu Zibo had an outstanding bank loan balance of RMB 5.8 million. On December 6, 2024, Youxu Zibo entered into an extension agreement with the bank, under which the remaining principal balance of RMB 6.5 million is repayable in installments, with the final payment due no later than June 3, 2026. The loan carries an annual interest rate of 6.87%, consistent with the original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that the substantial doubt of its ability to continue as going concern is alleviated based on proceeds received from its new investors and potential investors. Meanwhile, the Group also believe its existing cash and cash equivalents, anticipated cash raised from financings, and anticipated cash flow from operations, together with the net proceeds from its new investors and potential investors in 2025, will be sufficient to meet its anticipated cash needs for the next 12 months from the date of this report. The exact amount of proceeds the Group used for its operations and expansion plans will depend on the amount of cash generated from its operations and any strategic decisions the Group may make that could alter its expansion plans and the amount of cash necessary to fund these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working capital, including receivables and other assets and liabilities and accrued liabilities, may materially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years presented:</w:t>
      </w:r>
    </w:p>
    <w:p>
      <w:pPr>
        <w:pStyle w:val="TextBody"/>
        <w:bidi w:val="0"/>
        <w:spacing w:before="0" w:after="0"/>
        <w:ind w:left="0" w:right="0" w:hanging="0"/>
        <w:jc w:val="both"/>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5480"/>
        <w:gridCol w:w="90"/>
        <w:gridCol w:w="90"/>
        <w:gridCol w:w="680"/>
        <w:gridCol w:w="155"/>
        <w:gridCol w:w="90"/>
        <w:gridCol w:w="90"/>
        <w:gridCol w:w="680"/>
        <w:gridCol w:w="125"/>
        <w:gridCol w:w="90"/>
        <w:gridCol w:w="90"/>
        <w:gridCol w:w="575"/>
        <w:gridCol w:w="230"/>
      </w:tblGrid>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Years Ended</w:t>
              <w:br/>
              <w:t>December 31,</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5" w:type="dxa"/>
            <w:gridSpan w:val="1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Consolidated Cash Flow:</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(73,170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(69,894</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(9,941</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49,093</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3,392</w:t>
            </w:r>
          </w:p>
        </w:tc>
        <w:tc>
          <w:tcPr>
            <w:tcW w:w="23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12,958</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6,699</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(11,119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1,021</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23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exchange rate changes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(3,401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and restricted cash, at beginning of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36,239</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3,381</w:t>
            </w:r>
          </w:p>
        </w:tc>
        <w:tc>
          <w:tcPr>
            <w:tcW w:w="23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and restricted cash, at end of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24,674</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22,294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3,172</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used in operating activities increased from RMB73.2 million for the year ended December 31, 2024 to RMB69.9 million (US$9.9 million) for the year ended December 31, 2025. We anticipate optimizing net operating cash outflows through the following initiatives: Accelerated industrial upgrading: The Group has begun reducing loss-making operations and has achieved certain results, with the Group’s gross profit margin increasing this year. Overseas market expansion: The Group’s development of battery-swapping station sales and swap network services in Hong Kong, Southeast Asia, and South America continues to expand. With the expansion of business scale and the enhancement of brand recognition, the Group’s core business gross profit margin has improved this year. Looking ahead, the Group expects to optimize its personnel structure and control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net cash used in operating activities of approximately RMB 69.9 million (US$9.9 million) for the year ended December 31, 2025. The difference between our net loss of approximately RMB80.5 million (US$11.5 million) and the net cash used in operating activities was primarily due to (i) an adjustment of approximately RMB20.7 million (US$3.0 million) in non-cash items, which mainly consisted of depreciation and amortization of RMB2.1 million (US$0.3 million), amortization of right-of-use assets of RMB6.3 million (US$0.9 million), allowance for expected loss of RMB12.6 million (US$1.8 million); (ii) an decrease in other current and non-current assets of RMB21.9 million (US$3.1 million) due to the increased loans to third parties; (iii) an decrease in amounts due from related parties of RMB1.6 million (US$0.3 million), primarily attributable to increased cash outflows from financial support provided to related parties for their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RMB73.2 million (US$10.0 million) for the year ended December 31, 2024. The difference between our net loss of approximately RMB25.5 million (US$3.6 million) and the net cash used in operating activities was primarily due to (i) an adjustment of approximately RMB11.6 million (US$1.6 million) in non-cash items, which mainly consisted of depreciation and amortization of RMB2.6 million (US$0.4 million), amortization of right-of-use assets of RMB5.7 million (US$0.8 million), a provision of impairment for fixed assets of RMB1.9 million (US$0.3million), allowance for expected loss of RMB1.2 million (US$0.2 million) ,an impairment of long-term investment of RMB0.1 million (US$0.01 million) and investment loss of RMB0.1 million(US$0.01million); (ii) an increase in accounts receivable of RMB14.2 million (US$2.0 million) in relation to providing sourcing services and sales of battery-swapping stations; (ii) an increase in other current assets of RMB21.2 million (US$3.0 million) due to the increased loans to third parties; (iii) an increase in advances to suppliers of RMB3.9 million (US$0.6 million), partially offset by (i) an increase in accrued expenses and other current liabilities of RMB15.1 million (US$2.1 million), (ii) an increase in amounts due to related parties of RMB5.2 million (US$0.7 million) and (iii) an increase in lease liabilities of RMB3.5 million (US$0.5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for the year ended December 31, 2025 was RMB23.8 million (US$3.4 million), mainly consisted of the repayment of loans from third parties of RMB23.8 million (US$3.4 million) and repayment of the refundable deposit for investment of RMB39.8 million (US$5.7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for the year ended December 31, 2024 was RMB49.1 million (US$6.7 million), mainly consisted of the loan repayments from third parties of RMB16.7 million (US$2.3 million) and payment of loans provided to related parties for investment of RMB40.2 million (US$5.7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RMB47.1 million (US$6.7 million), mainly consisted of the proceeds of capital contribution from the issuance of ordinary shares of RMB52.5 million (US$7.5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2024 was RMB13.0 million (US$1.8 million), mainly consisted of the proceeds of capital contribution from insurance of ordinary shares of RMB25.9 million (US$3.5 million), and proceeds from short-term bank borrowing of RMB10.2 million (US$1.4 million). On the other hand, the repayment of bank loans during the current year resulted in a reduction of RMB20.1 million (US$2.8 million) in 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our holding company, has no material operations of its own. We conduct our operations primarily through our subsidiaries in the PRC. As a result, U Power Limited’s ability to pay dividends depends upon dividends paid by our subsidiaries in the PRC. If our existing PRC subsidiaries or any newly formed ones incur debt on their own behalf in the future, the instruments governing their debt may restrict their ability to pay dividends to us. In addition, our subsidiaries in China are permitted to pay dividends to us only out of their retained earnings, if any, as determined in accordance with PRC accounting standards and regulations. Under PRC law, each of our subsidiaries in China is required to set aside at least 10% of its after-tax profits each year, if any, to fund certain statutory reserve funds until such reserve funds reach 50% of its registered capital. In addition, our subsidiaries in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wholly foreign-owned company out of China is subject to examination by the banks designated by State Administration of Foreign Exchange (“SAFE”). Our PRC subsidiaries have not paid dividends and will not be able to pay dividends until they generate accumulated profits and meet the requirements for statutory reserve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Borrowing</w:t>
      </w:r>
      <w:r>
        <w:rPr>
          <w:rFonts w:ascii="Times New Roman;Times;Serif" w:hAnsi="Times New Roman;Times;Serif"/>
          <w:b/>
          <w:i w:val="false"/>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borrowings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3560"/>
        <w:gridCol w:w="90"/>
        <w:gridCol w:w="90"/>
        <w:gridCol w:w="620"/>
        <w:gridCol w:w="90"/>
        <w:gridCol w:w="90"/>
        <w:gridCol w:w="90"/>
        <w:gridCol w:w="620"/>
        <w:gridCol w:w="90"/>
        <w:gridCol w:w="90"/>
        <w:gridCol w:w="90"/>
        <w:gridCol w:w="515"/>
        <w:gridCol w:w="135"/>
      </w:tblGrid>
      <w:tr>
        <w:trPr/>
        <w:tc>
          <w:tcPr>
            <w:tcW w:w="3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bank borrowing, current portion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2,699</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Shanghai Youxu fully repaid its aggregate short-term bank borrowing of RMB4.0 million originally obtained in 2024. Subsequent to these repayments, Shanghai Youxu entered into new one-year short-term bank loans of RMB2.0 million on February 21, 2025, carrying an annual interest rate of 3.10%.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Youxu Zibo repaid RMB0.7 million of its bank borrowings from Qishang Bank. On December 6, 2024, the company entered into a renewal agreement with Qishang Bank to extend the remaining RMB6.5 million loan to June 3, 2026, maintaining the original annual interest rate of 6.87%.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Group’s contractual obligations was as of December 31, 2025:</w:t>
      </w:r>
    </w:p>
    <w:p>
      <w:pPr>
        <w:pStyle w:val="TextBody"/>
        <w:bidi w:val="0"/>
        <w:spacing w:before="0" w:after="0"/>
        <w:ind w:left="0" w:right="0" w:firstLine="36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4070"/>
        <w:gridCol w:w="90"/>
        <w:gridCol w:w="90"/>
        <w:gridCol w:w="620"/>
        <w:gridCol w:w="90"/>
        <w:gridCol w:w="90"/>
        <w:gridCol w:w="90"/>
        <w:gridCol w:w="515"/>
        <w:gridCol w:w="90"/>
        <w:gridCol w:w="90"/>
        <w:gridCol w:w="107"/>
        <w:gridCol w:w="738"/>
        <w:gridCol w:w="90"/>
        <w:gridCol w:w="90"/>
        <w:gridCol w:w="123"/>
        <w:gridCol w:w="706"/>
        <w:gridCol w:w="90"/>
        <w:gridCol w:w="90"/>
        <w:gridCol w:w="162"/>
        <w:gridCol w:w="667"/>
        <w:gridCol w:w="90"/>
        <w:gridCol w:w="90"/>
        <w:gridCol w:w="420"/>
        <w:gridCol w:w="515"/>
        <w:gridCol w:w="135"/>
      </w:tblGrid>
      <w:tr>
        <w:trPr/>
        <w:tc>
          <w:tcPr>
            <w:tcW w:w="4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53"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due by period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br/>
              <w:t>1 year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years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years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br/>
              <w:t>5 years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bank borrowings (i)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73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6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third parties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(ii)</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73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6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settlement(iii)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43,506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Group’s long-term bank borrowings and short-term bank borrowings as of December 31, 2025 is discussed in Note 13 BANK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Group’s commitment for minimum lease payments under the remaining operating leases as of December 31, 2025 is discussed in Note 15 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commitment for payable under the other current liabilities as of December 31, 2025 is discussed in Note 14 ACCRUED EXPENSES AND OTHER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shown above, we did not have any significant capital and other commitments, long-term obligations or guarantees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2020 to November 2021, Youguan Financial Leasing provided a total of RMB5,869 (US$827) guarantees to its four customers who entered into two five-year guarantees and two four-year guarantees. As of the date of this annual report, the balance of the guarantees was RMB783. As of the date of this annual report, all these loans are under normal repayment by these four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45"/>
        <w:gridCol w:w="45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45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Research and Development, Patents and Licenses, etc.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 - B. Business Overview -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Trend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elsewhere in this annual report, we are not aware of any trends, uncertainties, demands, commitments or events that are reasonably likely to have a material adverse effect on our revenues, income from continuing operations, profitability, liquidity or capital resources, or that would cause our reported financial information not necessarily to be indicative of future operating results or financial condition.</w:t>
      </w:r>
    </w:p>
    <w:p>
      <w:pPr>
        <w:pStyle w:val="TextBody"/>
        <w:bidi w:val="0"/>
        <w:spacing w:before="0" w:after="0"/>
        <w:ind w:left="360" w:right="0" w:hanging="36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36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Critical Accounting Policies and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critical accounting policies, judgments and estimates should be read in conjunction with our consolidated financial statements and other disclosures included in this annual report. When reviewing our consolidated financial statements, you should consider (i) our selection of critical accounting policies, (ii) the judgments and other uncertainties affecting the application of such policies and (iii) the sensitivity of reported results to changes in conditions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our consolidated financial statements and related notes included elsewhere in this annual report for a description of other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from Contracts with Customers, we recognize revenue when a customer obtains control of promised goods or services and recognizes in an amount that reflects the consideration which the entity expects to receive in exchange for those goods or services.</w:t>
      </w:r>
    </w:p>
    <w:p>
      <w:pPr>
        <w:pStyle w:val="TextBody"/>
        <w:bidi w:val="0"/>
        <w:spacing w:before="0" w:after="0"/>
        <w:ind w:left="2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revenue according to the following five-step revenue recognition criteria based on ASC 606: (1) identify the contract with a customer; (2) identify the performance obligations in the contract; (3) determine the transaction price; (4) allocate the transaction price; and (5) recognize revenue when or as the entity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our performance:</w:t>
      </w:r>
    </w:p>
    <w:p>
      <w:pPr>
        <w:pStyle w:val="TextBody"/>
        <w:bidi w:val="0"/>
        <w:spacing w:before="0" w:after="0"/>
        <w:ind w:left="120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30"/>
        <w:gridCol w:w="68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provides all of the benefits received and consumed simultaneously by the customer;</w:t>
            </w:r>
          </w:p>
        </w:tc>
      </w:tr>
    </w:tbl>
    <w:p>
      <w:pPr>
        <w:pStyle w:val="TextBody"/>
        <w:bidi w:val="0"/>
        <w:spacing w:before="0" w:after="0"/>
        <w:ind w:left="1200" w:right="0" w:hanging="72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68"/>
        <w:gridCol w:w="290"/>
        <w:gridCol w:w="603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creates and enhances an asset that the customer controls as we perform; or</w:t>
            </w:r>
          </w:p>
        </w:tc>
      </w:tr>
    </w:tbl>
    <w:p>
      <w:pPr>
        <w:pStyle w:val="TextBody"/>
        <w:bidi w:val="0"/>
        <w:spacing w:before="0" w:after="0"/>
        <w:ind w:left="120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20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customers may include multiple performance obligations. For such arrangements, we allocate revenue to each performance obligation based on our relative standalone selling price. We generally determine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either party to a contract has performed, we present the contract in the consolidated balance sheets as a contract asset or a contract liability, depending on the relationship between the entity’s performance and the customer’s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our right to consideration in exchange for goods and services that we have transferred to a customer. A receivable is recorded when we have an unconditional right to consideration. A right to consideration is unconditional if only the passage of time is required before payment of that consideration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customer pays consideration or we have a right to an amount of consideration that is unconditional, before we transfer a good or service to the customer, we present the contract liability when the payment is made, or a receivable is recorded (whichever is earlier). A contract liability is our obligation to transfer goods or services to a customer for which we have received consideration (or an amount of consideration is due) from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the vehicle sourcing business and battery sourcing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battery sourcing business, we act as a principal, as being able to fully control relevant risks and benefits during the whole business, as indicated by the fact that we can decide the selling price, have a right to recall the product and cease the transaction, and bear relevant risks of damage and loss prior to the delivery of battery to the customer. The sales of battery sourcing revenues are recognized on a gross basis at a point in time when the control of the battery pack is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vehicle sourcing business, we charge service fees from our customers for their purchase of vehicles, where we are generally acting as an agent and our performance obligation is to purchase the specified vehicles for our customers. We charge the customers a commission that is calculated based on the purchase price of each purchase order. Vehicle sourcing service revenues are recognized on a net basis at the point in time when the service of purchase of the specified vehicles for our customers is completed, i.e., the specified vehicle for our customers is delivered. Payments are typically received in advance and are accounted for as contract liabilities until delivery, at which point the receipt in advance from customers is offset with the prepayment to the supplier and the difference representing the commission is recognized as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sales of battery swapping stations. We identify the users who purchase battery swapping stations as our customers. The revenue for battery swapping station sales is recognized at a point in time when the control of the product is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Battery swapping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generate revenues from providing battery swapping services to vehicle drivers and the station control system upgrading services to the battery-swapping station owners. We identify the vehicle drivers who need the services of battery swapping and the owners of battery swapping stations that the Group has sold to who have demands for the station control system upgrading services as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charge the battery swapping service fees from our customers based on vehicle miles traveled. However, as usually, the swapped battery will be immediately used after the payments by customers for driving and the power consumption of vehicles will be fast, we ignore the time interval between the timing of payment in advance by customers and the usage life of the swapped battery. The revenue generated from battery swapping services to vehicle drivers is recognized at a point in time when the Group received the payment from vehicle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generated from the station control system upgrading service is recognized over time based on a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consisting of raw materials, products available for sale, are stated at the lower of cost or net realizable value. Costs of inventory are determined using the first-in-first-out method. We record inventory reserves for obsolete and slow-moving inventory. Inventory reserves are based on inventory obsolescence trends, historical experience and application of the specific identification method. We recognized nil, nil and nil of inventory impairment for the years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Impairment of long-lived assets </w:t>
      </w:r>
    </w:p>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our long-lived assets, including property, equipment, software, and right-of-use assets with finite lives, for impairment whenever events or changes in circumstances, such as a significant adverse change to market conditions that will impact the future use of the assets, indicate that the carrying amount of an asset may not be fully recoverable. When these events occur, we evaluate the recoverability of long-lived assets by comparing the carrying amounts of the assets to the future undiscounted cash flows expected to result from the use of the assets and their eventual disposition. If the sum of the expected undiscounted cash flows is less than the carrying amounts of the assets, we recognize an impairment loss based on the excess of the carrying amounts of the assets over their fair value. Fair value is generally determined by discounting the cash flows expected to be generated by the assets, when the market prices are not readily available. The Group recognized RMB1,896, RMB4,639 and RMB1,896 (US$270) of impairment on fixed assets for the years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long-term investments mainly include equity investments in entities. Investments in entities in which we can exercise significant influence and holds an investment in voting common stock or in-substance common stock (or both) of the investee but does not own a majority equity interest or control are accounted for using the equity method of accounting in accordance with ASC topic 323, </w:t>
      </w:r>
      <w:r>
        <w:rPr>
          <w:rFonts w:ascii="Times New Roman;Times;Serif" w:hAnsi="Times New Roman;Times;Serif"/>
          <w:b w:val="false"/>
          <w:i/>
          <w:caps w:val="false"/>
          <w:smallCaps w:val="false"/>
          <w:sz w:val="20"/>
        </w:rPr>
        <w:t>Investments - Equity Method and Joint Ventures (“ASC 323”)</w:t>
      </w:r>
      <w:r>
        <w:rPr>
          <w:rFonts w:ascii="Times New Roman;Times;Serif" w:hAnsi="Times New Roman;Times;Serif"/>
          <w:b w:val="false"/>
          <w:i w:val="false"/>
          <w:caps w:val="false"/>
          <w:smallCaps w:val="false"/>
          <w:sz w:val="20"/>
        </w:rPr>
        <w:t>. Under the equity method, we initially record our investments at fair value. We subsequently adjust the carrying amount of the investments to recognize our proportionate share of each equity investee’s net income or loss into earnings after the date of investment. We evaluate the equity method investments for impairment under ASC 323. An impairment loss on the equity method investments is recognized in earnings when the decline in value is determined to be other-than-temporary. The Group recognized RMB0.1 million, RMB10.1 million and nil of impairment on long-term investments for the years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lease under ASC Topic 842, Leases. We determine if an arrangement is or contains a lease at inception. Right-of-use assets and liabilities are recognized at lease commencement date based on the present value of remaining lease payments over the lease terms. We consider only payments that are fixed and determinable at the time of lease commencement.</w:t>
      </w:r>
    </w:p>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the lease liability is recognized at the present value of the lease payments not yet paid, discounted using the interest rate implicit in the lease or, if that rate cannot be readily determined, our incremental borrowing rate for the same term as the underlying lease. The right-of-use asset is recognized initially at cost, which primarily comprises the initial amount of the lease liability, plus any initial direct costs incurred. All right-of-use assets are reviewed for impairment annually. There was no impairment for right-of-use lease assets as of December 31, 2023, 2024 and 2025. We recorded a loss on lease termination of right-of-use assets of nil, nil and nil for the years ended December 31, 2023, 2024 and 2025, respectively.</w:t>
      </w:r>
    </w:p>
    <w:p>
      <w:pPr>
        <w:pStyle w:val="TextBody"/>
        <w:bidi w:val="0"/>
        <w:spacing w:before="0" w:after="0"/>
        <w:ind w:left="4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 are included within “right-of-use assets - operating lease”, and the corresponding operating lease liabilities are included within “operating lease liabilities” on the consolidated balance sheets as of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summary of recently issued accounting pronouncements, see Note 2 to the consolidated financial statements included elsewhere in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 The business address of all of our directors and executive officers is 2F, Zuoan 88 A, Lujiazui, Shanghai, People’s Republic of China.</w:t>
      </w:r>
    </w:p>
    <w:p>
      <w:pPr>
        <w:pStyle w:val="TextBody"/>
        <w:bidi w:val="0"/>
        <w:spacing w:before="0" w:after="0"/>
        <w:ind w:left="0" w:right="0" w:hanging="0"/>
        <w:jc w:val="both"/>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2825"/>
        <w:gridCol w:w="90"/>
        <w:gridCol w:w="380"/>
        <w:gridCol w:w="90"/>
        <w:gridCol w:w="6035"/>
      </w:tblGrid>
      <w:tr>
        <w:trPr/>
        <w:tc>
          <w:tcPr>
            <w:tcW w:w="28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60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Position/Title</w:t>
            </w:r>
          </w:p>
        </w:tc>
      </w:tr>
      <w:tr>
        <w:trPr/>
        <w:tc>
          <w:tcPr>
            <w:tcW w:w="28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Jia Li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r>
      <w:tr>
        <w:trPr/>
        <w:tc>
          <w:tcPr>
            <w:tcW w:w="2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Bingyi Zhao</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6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Director</w:t>
            </w:r>
          </w:p>
        </w:tc>
      </w:tr>
      <w:tr>
        <w:trPr/>
        <w:tc>
          <w:tcPr>
            <w:tcW w:w="28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Xiaochun Li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2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Quanshi Chen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90" w:type="dxa"/>
            <w:tcBorders/>
            <w:tcMar>
              <w:bottom w:w="0" w:type="dxa"/>
            </w:tcMar>
            <w:vAlign w:val="center"/>
          </w:tcPr>
          <w:p>
            <w:pPr>
              <w:pStyle w:val="TableContents"/>
              <w:bidi w:val="0"/>
              <w:spacing w:before="0" w:after="283"/>
              <w:jc w:val="left"/>
              <w:rPr/>
            </w:pPr>
            <w:r>
              <w:rPr/>
              <w:t> </w:t>
            </w:r>
          </w:p>
        </w:tc>
        <w:tc>
          <w:tcPr>
            <w:tcW w:w="6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28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Jean Christophe von Pfetten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the executive officers and directors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Jia Li </w:t>
      </w:r>
      <w:r>
        <w:rPr>
          <w:rFonts w:ascii="Times New Roman;Times;Serif" w:hAnsi="Times New Roman;Times;Serif"/>
          <w:b w:val="false"/>
          <w:i w:val="false"/>
          <w:caps w:val="false"/>
          <w:smallCaps w:val="false"/>
          <w:sz w:val="20"/>
        </w:rPr>
        <w:t>has served as the chairman of the board of directors and chief executive officer of the Company since June 2021. Mr. Li founded our operative subsidiary, Youpin Automobile Service Group Co., Ltd., in July 2013, and has served as executive director of Youpin Automobile Service Group Co., Ltd. since May 28, 2014. He has over 20 years of business experience in sales and marketing, and over 15 years in management in the automotive industry and the financial industry. From January 2011 to November 2013, Mr. Li was the vice president at SAIC-GMAC Automotive Finance Co., Ltd.. From October 2009 to December 2010, Mr. Li served as the vice president of Siemens Ltd., China, of its SIS North East Asia Financial Leasing services. From February 2009 to April 2009, Mr. Li worked at Hewlett-Packard Financial Leasing Co., Ltd. in China. From August, 1999 to January, 2009. Mr. Li holds a Master of Engineering degree in Computer Information Processing from Chinese Academy of Sciences, an Executive Master of Business Administration degree from Maastricht School of Management, and a Master of Finance from Renmin University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Bingyi Zhao</w:t>
      </w:r>
      <w:r>
        <w:rPr>
          <w:rFonts w:ascii="Times New Roman;Times;Serif" w:hAnsi="Times New Roman;Times;Serif"/>
          <w:b w:val="false"/>
          <w:i w:val="false"/>
          <w:caps w:val="false"/>
          <w:smallCaps w:val="false"/>
          <w:sz w:val="20"/>
        </w:rPr>
        <w:t xml:space="preserve"> has served as the chief financial officer and a director of the Company since July 2022. Ms. Zhao has over 10 years of experience in the financial sector. She has served as the chief executive officer of our operative subsidiary, Youpin Automobile Service Group Co., Ltd., since July, 2018. From November 2015 to April 2018, Ms. Zhao was the President of Investment Fund Division at Shanghai Huayue Equity Investment Management Co., Ltd, whose LP is a listed company in Hong Kong. From 2012 to 2014, she served as the general manager at Shanghai Kaihong Petroleum Holding Group, a member of the Shanghai Petroleum and Natural Gas Trading Center. From 2011 to 2012, Ms. Zhao was a senior consultant at the Plain Law Firm. From December 2008 to June 2010, Ms. Zhao worked at HSBC Bank (China) Company Limited. From April 2007 to October 2008, Ms. Zhao worked at Citigroup Data Processing (Shanghai) Co., Ltd. Ms. Zhao obtained her Bachelor’s degree in Finance from East China University of Political Science and Law in 2004.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Xiaochun Li</w:t>
      </w:r>
      <w:r>
        <w:rPr>
          <w:rFonts w:ascii="Times New Roman;Times;Serif" w:hAnsi="Times New Roman;Times;Serif"/>
          <w:b w:val="false"/>
          <w:i w:val="false"/>
          <w:caps w:val="false"/>
          <w:smallCaps w:val="false"/>
          <w:sz w:val="20"/>
        </w:rPr>
        <w:t xml:space="preserve"> has served as an independent director of the Company since April 2023. Ms. Li has over 20 years of experience in treasury management at international enterprises. Since October 2020, Ms. Li has served as the director of Business Treasury at Nouryon Chemicals B.V., a global specialty chemicals company. From January 2007 to October 2007, Ms. Li served as the China regional Treasurer of Nokia Siemens Networks. From October 2003 to November 2006, Ms. Li was financial treasury manager at Siemens Financial Services Ltd. From May 2000 to September 2003, Ms. Li worked as a senior treasury analyst at Hewlett-Packard Enterprise (China) Co., Ltd. Ms. Li holds a Bachelor’s degree in Accounting and Auditing from Shanghai University of Finance and Economics, and earned a Master’s degree in Business Administration at a program offered jointly by Shanghai Fudan University and BI Norwegian Business School.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Quanshi Chen</w:t>
      </w:r>
      <w:r>
        <w:rPr>
          <w:rFonts w:ascii="Times New Roman;Times;Serif" w:hAnsi="Times New Roman;Times;Serif"/>
          <w:b w:val="false"/>
          <w:i w:val="false"/>
          <w:caps w:val="false"/>
          <w:smallCaps w:val="false"/>
          <w:sz w:val="20"/>
        </w:rPr>
        <w:t xml:space="preserve"> has served as an independent director of the Company since April 2023. Mr. Chen served as a professor and PhD tutor at the College of Vehicles and Mobility, Tsinghua University from March 1970 to September 2010, and the honorary director of the Electric Vehicle Branch of the Chinese Academy of Automotive Engineers since May, 1997. Mr. Chen obtained his bachelor’s degree in automotive engineering at Tsinghua University in March 1970, and served at the Department of Automotive Engineering from 1970 to 2010 in multiple roles, including the department chairperson from October 1994 to December 1997, the deputy director of the Automobile Research Institute at Tsinghua University from January 1998 to January 2004, and the vice dean of the School of Mechanical Engineering from July 1996 to September 2001. Mr. Chen also has served as the director of the Electric Vehicle Branch of Chinese Society of Automotive Engineers from 1998 to October 2018, and the deputy director of Electric Vehicle Branch, Chinese National Automobile Standardization Technical Committee from October 1997 to December 2014. Mr. Chen served as the deputy director of the State Key Laboratory of Automobile Safety and Energy Conservation from July 2001 to December 2006. He has been serving as a consultant for the Chinese National Automobile Standardization Technical Committee, Electric Vehicles Technology Sub-Committee since January 2015. His research focuses on the technological developments of electric vehicles, hybrid vehicles, and fuel cell vehicles. He has published over 30 papers in major national and international journals and conferences. Currently, Mr. Chen also serves as an independent director at Chongqing Changan Automobile Co., Ltd., a company listed on the main board of Shenzhen Stock Exchange, and Shenzhen Daotong Technology Co., Ltd., a company listed on the Science and Technology Innovation Board of the Shanghai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Jean Christophe von Pfetten (Prof. Pfetten) </w:t>
      </w:r>
      <w:r>
        <w:rPr>
          <w:rFonts w:ascii="Times New Roman;Times;Serif" w:hAnsi="Times New Roman;Times;Serif"/>
          <w:b w:val="false"/>
          <w:i w:val="false"/>
          <w:caps w:val="false"/>
          <w:smallCaps w:val="false"/>
          <w:sz w:val="20"/>
        </w:rPr>
        <w:t>has served as an independent director of the Company since February 2024. Prof. Pfetten is an accomplished diplomat and academic, who has served as Chairman of the Institute for East-West Strategic Studies since October 1997, visiting professor at People’s University of China since September 1999, Chairman of Thornehope Limited (HK) since September 2001, and Bye-fellow of Emmanuel College (Cambridge University) since May 2015. He also served as a member of the board of the International Financial Bank (FinInt Italy) for three years from January 2019 to December 2022. Prof. Pfetten is the author of a book entitled “Insights from China: Leadership, Policy and New World Order” published in 2015, and more than thirty articles on Corporate Governance, Political Economics and International relations. He received a Bachelor of Science and a Master of Science (Physics and Chemistry) from the University of Strasbourg in 1988 and 1989, respectively, and a Dipl. Eng. in Geophysics from the Institute de Physique du Globe in 1990.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certain information regarding the diversity of our board of directors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4685"/>
        <w:gridCol w:w="90"/>
        <w:gridCol w:w="665"/>
      </w:tblGrid>
      <w:tr>
        <w:trPr/>
        <w:tc>
          <w:tcPr>
            <w:tcW w:w="5440" w:type="dxa"/>
            <w:gridSpan w:val="3"/>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Board Diversity Matrix</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 of Principal Executive Offices:</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China</w:t>
            </w:r>
          </w:p>
        </w:tc>
      </w:tr>
      <w:tr>
        <w:trPr/>
        <w:tc>
          <w:tcPr>
            <w:tcW w:w="4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Private Issuer</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Yes</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Disclosure Prohibited under Home Country Law</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w:t>
            </w:r>
          </w:p>
        </w:tc>
      </w:tr>
      <w:tr>
        <w:trPr/>
        <w:tc>
          <w:tcPr>
            <w:tcW w:w="4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Number of Directors</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bl>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5630"/>
        <w:gridCol w:w="90"/>
        <w:gridCol w:w="785"/>
        <w:gridCol w:w="90"/>
        <w:gridCol w:w="560"/>
        <w:gridCol w:w="90"/>
        <w:gridCol w:w="1325"/>
        <w:gridCol w:w="90"/>
        <w:gridCol w:w="905"/>
      </w:tblGrid>
      <w:tr>
        <w:trPr/>
        <w:tc>
          <w:tcPr>
            <w:tcW w:w="5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b/>
              </w:rPr>
            </w:pPr>
            <w:r>
              <w:rPr>
                <w:b/>
              </w:rPr>
              <w:t>Female</w:t>
            </w:r>
          </w:p>
        </w:tc>
        <w:tc>
          <w:tcPr>
            <w:tcW w:w="9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b/>
              </w:rPr>
            </w:pPr>
            <w:r>
              <w:rPr>
                <w:b/>
              </w:rPr>
              <w:t>Male</w:t>
            </w:r>
          </w:p>
        </w:tc>
        <w:tc>
          <w:tcPr>
            <w:tcW w:w="90" w:type="dxa"/>
            <w:tcBorders/>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Non- Binary</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b/>
              </w:rPr>
            </w:pPr>
            <w:r>
              <w:rPr>
                <w:b/>
              </w:rPr>
              <w:t>Did Not</w:t>
              <w:br/>
              <w:t>Disclose</w:t>
              <w:br/>
              <w:t>Gender</w:t>
            </w:r>
          </w:p>
        </w:tc>
      </w:tr>
      <w:tr>
        <w:trPr/>
        <w:tc>
          <w:tcPr>
            <w:tcW w:w="5630" w:type="dxa"/>
            <w:tcBorders/>
            <w:vAlign w:val="center"/>
          </w:tcPr>
          <w:p>
            <w:pPr>
              <w:pStyle w:val="TableContents"/>
              <w:bidi w:val="0"/>
              <w:spacing w:before="0" w:after="283"/>
              <w:jc w:val="left"/>
              <w:rPr>
                <w:b/>
              </w:rPr>
            </w:pPr>
            <w:r>
              <w:rPr>
                <w:b/>
              </w:rPr>
              <w:t>Part I: Gender Identity</w:t>
            </w:r>
          </w:p>
        </w:tc>
        <w:tc>
          <w:tcPr>
            <w:tcW w:w="90" w:type="dxa"/>
            <w:tcBorders/>
            <w:vAlign w:val="center"/>
          </w:tcPr>
          <w:p>
            <w:pPr>
              <w:pStyle w:val="TableContents"/>
              <w:bidi w:val="0"/>
              <w:spacing w:before="0" w:after="283"/>
              <w:jc w:val="left"/>
              <w:rPr/>
            </w:pPr>
            <w:r>
              <w:rPr/>
              <w:t> </w:t>
            </w:r>
          </w:p>
        </w:tc>
        <w:tc>
          <w:tcPr>
            <w:tcW w:w="3845" w:type="dxa"/>
            <w:gridSpan w:val="7"/>
            <w:tcBorders/>
            <w:vAlign w:val="center"/>
          </w:tcPr>
          <w:p>
            <w:pPr>
              <w:pStyle w:val="TableContents"/>
              <w:bidi w:val="0"/>
              <w:spacing w:before="0" w:after="283"/>
              <w:jc w:val="center"/>
              <w:rPr/>
            </w:pPr>
            <w:r>
              <w:rPr/>
              <w:t> </w:t>
            </w:r>
          </w:p>
        </w:tc>
      </w:tr>
      <w:tr>
        <w:trPr/>
        <w:tc>
          <w:tcPr>
            <w:tcW w:w="5630" w:type="dxa"/>
            <w:tcBorders/>
            <w:shd w:fill="CCEEFF" w:val="clear"/>
            <w:vAlign w:val="center"/>
          </w:tcPr>
          <w:p>
            <w:pPr>
              <w:pStyle w:val="TableContents"/>
              <w:bidi w:val="0"/>
              <w:spacing w:before="0" w:after="283"/>
              <w:jc w:val="left"/>
              <w:rPr/>
            </w:pPr>
            <w:r>
              <w:rPr/>
              <w:t>Directors</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3</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0</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0</w:t>
            </w:r>
          </w:p>
        </w:tc>
      </w:tr>
      <w:tr>
        <w:trPr/>
        <w:tc>
          <w:tcPr>
            <w:tcW w:w="5630" w:type="dxa"/>
            <w:tcBorders/>
            <w:vAlign w:val="center"/>
          </w:tcPr>
          <w:p>
            <w:pPr>
              <w:pStyle w:val="TableContents"/>
              <w:bidi w:val="0"/>
              <w:spacing w:before="0" w:after="283"/>
              <w:jc w:val="left"/>
              <w:rPr>
                <w:b/>
              </w:rPr>
            </w:pPr>
            <w:r>
              <w:rPr>
                <w:b/>
              </w:rPr>
              <w:t>Part II: Demographic Background</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r>
      <w:tr>
        <w:trPr/>
        <w:tc>
          <w:tcPr>
            <w:tcW w:w="5630" w:type="dxa"/>
            <w:tcBorders/>
            <w:shd w:fill="CCEEFF" w:val="clear"/>
            <w:vAlign w:val="center"/>
          </w:tcPr>
          <w:p>
            <w:pPr>
              <w:pStyle w:val="TableContents"/>
              <w:bidi w:val="0"/>
              <w:spacing w:before="0" w:after="283"/>
              <w:jc w:val="left"/>
              <w:rPr/>
            </w:pPr>
            <w:r>
              <w:rPr/>
              <w:t>Underrepresented Individual in Home Country Jurisdiction</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r>
      <w:tr>
        <w:trPr/>
        <w:tc>
          <w:tcPr>
            <w:tcW w:w="5630" w:type="dxa"/>
            <w:tcBorders/>
            <w:vAlign w:val="center"/>
          </w:tcPr>
          <w:p>
            <w:pPr>
              <w:pStyle w:val="TableContents"/>
              <w:bidi w:val="0"/>
              <w:spacing w:before="0" w:after="283"/>
              <w:jc w:val="left"/>
              <w:rPr/>
            </w:pPr>
            <w:r>
              <w:rPr/>
              <w:t>LGBTQ+</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r>
      <w:tr>
        <w:trPr/>
        <w:tc>
          <w:tcPr>
            <w:tcW w:w="5630" w:type="dxa"/>
            <w:tcBorders/>
            <w:shd w:fill="CCEEFF" w:val="clear"/>
            <w:vAlign w:val="center"/>
          </w:tcPr>
          <w:p>
            <w:pPr>
              <w:pStyle w:val="TableContents"/>
              <w:bidi w:val="0"/>
              <w:spacing w:before="0" w:after="283"/>
              <w:jc w:val="left"/>
              <w:rPr/>
            </w:pPr>
            <w:r>
              <w:rPr/>
              <w:t>Did Not Disclose Demographic Background</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paid an aggregate of approximately RMB0.26 million in cash to our executive officers and directors and we did not pay any compensation to our non-executive directors. We have not set aside or accrued any amount to provide pension, retirement or other similar benefits to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(5) directors. Our board of directors has determined that our three independent directors, Ms. Xiaochun Li, Mr. Quanshi Chen, and Mr. Jean Christophe von Pfetten, satisfy the “independence” requirements of the Nasdaq corporate governance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memorandum and articles of association, the minimum number of directors shall not be less than three directors. All directors shall hold office until the expiration of their respective terms of office and until their successors shall have been appointed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good faith in what they consider to be in our best interests. Our directors must also exercise their powers only for a proper purpose. Our directors also have a duty to exercise the skills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under Cayman Islands law, a controlling shareholder of a Cayman Islands company does not owe fiduciary duties to the company or its minority shareholders, a controlling shareholder who serves as a director of a company owes fiduciary duties in his capacity as a director to such company, for as long as he or she serves on the company’s board of directors. Certain shareholders of our controlling shareholder serve on our board of directors and, as a result, owe the aforementioned fiduciary duties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fulfilling their duty of care to us, our directors must ensure compliance with our memorandum and articles of association as may be amended and restated from time to time. Our company has a right to seek damages against any director who breaches a duty owed to us. A shareholder may in certain circumstances have rights to damages if a duty owed by the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68"/>
        <w:gridCol w:w="200"/>
        <w:gridCol w:w="8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convening shareholders’ annual general meetings and reporting its work to shareholders at such meetings;</w:t>
            </w:r>
          </w:p>
        </w:tc>
      </w:tr>
    </w:tbl>
    <w:p>
      <w:pPr>
        <w:pStyle w:val="TextBody"/>
        <w:bidi w:val="0"/>
        <w:spacing w:before="0" w:after="0"/>
        <w:ind w:left="0" w:right="0" w:hanging="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68"/>
        <w:gridCol w:w="200"/>
        <w:gridCol w:w="3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declaring dividends and distributions;</w:t>
            </w:r>
          </w:p>
        </w:tc>
      </w:tr>
    </w:tbl>
    <w:p>
      <w:pPr>
        <w:pStyle w:val="TextBody"/>
        <w:bidi w:val="0"/>
        <w:spacing w:before="0" w:after="0"/>
        <w:ind w:left="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68"/>
        <w:gridCol w:w="200"/>
        <w:gridCol w:w="5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officers;</w:t>
            </w:r>
          </w:p>
        </w:tc>
      </w:tr>
    </w:tbl>
    <w:p>
      <w:pPr>
        <w:pStyle w:val="TextBody"/>
        <w:bidi w:val="0"/>
        <w:spacing w:before="0" w:after="0"/>
        <w:ind w:left="0" w:right="0" w:hanging="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68"/>
        <w:gridCol w:w="200"/>
        <w:gridCol w:w="8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our company and mortgaging the property of our company; and</w:t>
            </w:r>
          </w:p>
        </w:tc>
      </w:tr>
    </w:tbl>
    <w:p>
      <w:pPr>
        <w:pStyle w:val="TextBody"/>
        <w:bidi w:val="0"/>
        <w:spacing w:before="0" w:after="0"/>
        <w:ind w:left="0"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68"/>
        <w:gridCol w:w="200"/>
        <w:gridCol w:w="89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the transfer of shares of our company, including the registering of such shares in our share register.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elected by and serve at the discretion of the board of directors. Our directors are not subject to a term of office and hold office until their resignation, death or incapacity, or until their respective successors have been elected and qualified or until his or her office is otherwise vacated in accordance with our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director’s office shall be vacated if, among other things, the director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resolved that his office be vacated, or (v) is removed from office pursuant to any other provisions of our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executive officers. Each of our executive officers is employed for a continuous term unless either we or the executive officer gives prior notice to terminate such employment, or for a specified time period, or for a specified time period which will be renewed automatically unless a notice of non-renewal is given. We may terminate an executive officer’s employment for cause, at any time, without notice or remuneration, including but not limited to as a result of the executive officer’s commitments of any serious or persistent breach or non-observance of the terms and conditions of the employment, conviction of a criminal offence, fraud or dishonesty, habitual neglect of his or her duties, material misconduct being inconsistent with the due and faithful discharge of the executive officer’s material duties or material breach of internal procedures or regulations which causes damage to the Company. An executive officer may terminate his or her employment at any time with one month’s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 for audit committee approval under applicable law, the amended and restated memorandum and articles of association or the Nasdaq Stock Market Listing Rules, or disqualification by the chairman of the relevant board meeting, vote in respect of any contract or transaction or proposed contract or transaction in which he or she is interested, provided that the nature of the interest of any directors in such contract or transaction is disclosed by him or her at or prior to its consideration and any vote in that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consist of Ms. Xiaochun Li, Mr. Quanshi Chen, and Mr. Jean Christophe von Pfetten. Ms. Xiaochun Li is the chairperson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accounting and financial reporting processes and the audits of our financial statements. The audit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our independent registered public accounting firm and pre-approving all auditing and non-auditing services performed by our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registered public accounting firm any audit problems or difficulties and management’s response;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related-party transactions, as defined in Item 404 of Regulation S-K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our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68"/>
        <w:gridCol w:w="200"/>
        <w:gridCol w:w="66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annually reviewing and reassessing the adequacy of our audit committee charter;</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68"/>
        <w:gridCol w:w="200"/>
        <w:gridCol w:w="90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our independent registered public accounting firms;</w:t>
            </w:r>
          </w:p>
        </w:tc>
      </w:tr>
    </w:tbl>
    <w:p>
      <w:pPr>
        <w:pStyle w:val="TextBody"/>
        <w:bidi w:val="0"/>
        <w:spacing w:before="0" w:after="0"/>
        <w:ind w:left="0" w:right="0" w:hanging="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68"/>
        <w:gridCol w:w="200"/>
        <w:gridCol w:w="4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reporting regularly to the full board of directors;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matters that are specifically delegated to our audit committee by our board of directors from time to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Ms. Xiaochun Li, Mr. Quanshi Chen, and Mr. Jean Christophe von Pfetten. Ms. Xiaochun Li is the chairperson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the compensation for our chief executive officer and other executive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for determination with respect to the compensation of our non-employee directors;</w:t>
            </w:r>
          </w:p>
        </w:tc>
      </w:tr>
    </w:tbl>
    <w:p>
      <w:pPr>
        <w:pStyle w:val="TextBody"/>
        <w:bidi w:val="0"/>
        <w:spacing w:before="0" w:after="0"/>
        <w:ind w:left="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68"/>
        <w:gridCol w:w="200"/>
        <w:gridCol w:w="9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making recommendations to the board of directors with respect to the compensation of our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Ms. Xiaochun Li, Mr. Quanshi Chen, and Mr. Jean Christophe von Pfetten. Ms. Xiaochun Li is the chairperson of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will assist the board of directors in selecting directors and in determining the composition of our board and board committees. The nominating and corporate governance committee will be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nominees for election or re-election to our board of directors, or for appointment to fill any vacancy;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our board of directors its composition in light of the characteristics of independence, age, skills, experience and availability of service to us;</w:t>
            </w:r>
          </w:p>
        </w:tc>
      </w:tr>
    </w:tbl>
    <w:p>
      <w:pPr>
        <w:pStyle w:val="TextBody"/>
        <w:bidi w:val="0"/>
        <w:spacing w:before="0" w:after="0"/>
        <w:ind w:left="72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68"/>
        <w:gridCol w:w="200"/>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to our board the directors to serve as members of committees;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respect to developments in the law and practice of corporate governance as well as our compliance with applicable laws and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to our board of directors on corporate governance matters and on any corrective action to be taken;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We have made our code of business conduct and ethics publicly available on our website at http:// https://ir.upincar.com/corporate.html.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 — B. Business Overview —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Ordinary Shares as of the date of this annual report for:</w:t>
      </w:r>
    </w:p>
    <w:p>
      <w:pPr>
        <w:pStyle w:val="TextBody"/>
        <w:bidi w:val="0"/>
        <w:spacing w:before="0" w:after="0"/>
        <w:ind w:left="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68"/>
        <w:gridCol w:w="200"/>
        <w:gridCol w:w="7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who beneficially own our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00"/>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and executive officers as a group; and</w:t>
            </w:r>
          </w:p>
        </w:tc>
      </w:tr>
    </w:tbl>
    <w:p>
      <w:pPr>
        <w:pStyle w:val="TextBody"/>
        <w:bidi w:val="0"/>
        <w:spacing w:before="0" w:after="0"/>
        <w:ind w:left="0" w:right="0" w:hanging="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68"/>
        <w:gridCol w:w="200"/>
        <w:gridCol w:w="67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own beneficially more than 5% of our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23,144,871 Class A Ordinary Shares and 36,805 Class B Ordinary Shares outstanding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w:t>
      </w:r>
    </w:p>
    <w:p>
      <w:pPr>
        <w:pStyle w:val="TextBody"/>
        <w:bidi w:val="0"/>
        <w:spacing w:before="0" w:after="0"/>
        <w:ind w:left="0" w:right="0" w:hanging="0"/>
        <w:jc w:val="both"/>
        <w:rPr>
          <w:caps w:val="false"/>
          <w:smallCaps w:val="false"/>
        </w:rPr>
      </w:pPr>
      <w:r>
        <w:rPr>
          <w:caps w:val="false"/>
          <w:smallCaps w:val="false"/>
        </w:rPr>
        <w:t> </w:t>
      </w:r>
    </w:p>
    <w:tbl>
      <w:tblPr>
        <w:tblW w:w="9574" w:type="dxa"/>
        <w:jc w:val="left"/>
        <w:tblInd w:w="0" w:type="dxa"/>
        <w:tblLayout w:type="fixed"/>
        <w:tblCellMar>
          <w:top w:w="0" w:type="dxa"/>
          <w:left w:w="0" w:type="dxa"/>
          <w:bottom w:w="0" w:type="dxa"/>
          <w:right w:w="0" w:type="dxa"/>
        </w:tblCellMar>
      </w:tblPr>
      <w:tblGrid>
        <w:gridCol w:w="4400"/>
        <w:gridCol w:w="90"/>
        <w:gridCol w:w="90"/>
        <w:gridCol w:w="1010"/>
        <w:gridCol w:w="90"/>
        <w:gridCol w:w="90"/>
        <w:gridCol w:w="113"/>
        <w:gridCol w:w="897"/>
        <w:gridCol w:w="90"/>
        <w:gridCol w:w="90"/>
        <w:gridCol w:w="169"/>
        <w:gridCol w:w="885"/>
        <w:gridCol w:w="245"/>
        <w:gridCol w:w="90"/>
        <w:gridCol w:w="123"/>
        <w:gridCol w:w="812"/>
        <w:gridCol w:w="290"/>
      </w:tblGrid>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of</w:t>
              <w:br/>
              <w:t>Beneficial</w:t>
              <w:br/>
              <w:t>Ownership</w:t>
            </w:r>
            <w:r>
              <w:rPr>
                <w:b/>
                <w:position w:val="7"/>
                <w:sz w:val="16"/>
                <w:sz w:val="20"/>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of</w:t>
              <w:br/>
              <w:t>Aggregate</w:t>
              <w:br/>
              <w:t>Voting</w:t>
              <w:br/>
              <w:t>Power</w:t>
            </w:r>
            <w:r>
              <w:rPr>
                <w:b/>
                <w:position w:val="7"/>
                <w:sz w:val="16"/>
                <w:sz w:val="20"/>
              </w:rPr>
              <w:t>††</w:t>
            </w:r>
          </w:p>
        </w:tc>
        <w:tc>
          <w:tcPr>
            <w:tcW w:w="29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44"/>
              <w:jc w:val="left"/>
              <w:rPr/>
            </w:pPr>
            <w:r>
              <w:rPr/>
              <w:t> </w:t>
            </w:r>
          </w:p>
        </w:tc>
      </w:tr>
      <w:tr>
        <w:trPr/>
        <w:tc>
          <w:tcPr>
            <w:tcW w:w="4400" w:type="dxa"/>
            <w:tcBorders/>
            <w:shd w:fill="CCEEFF" w:val="clear"/>
            <w:vAlign w:val="center"/>
          </w:tcPr>
          <w:p>
            <w:pPr>
              <w:pStyle w:val="TableContents"/>
              <w:bidi w:val="0"/>
              <w:spacing w:before="0" w:after="283"/>
              <w:jc w:val="left"/>
              <w:rPr>
                <w:sz w:val="20"/>
              </w:rPr>
            </w:pPr>
            <w:r>
              <w:rPr>
                <w:sz w:val="20"/>
              </w:rPr>
              <w:t>Jia Li</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1,830,319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36,805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8.05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20.54</w:t>
            </w:r>
          </w:p>
        </w:tc>
        <w:tc>
          <w:tcPr>
            <w:tcW w:w="290" w:type="dxa"/>
            <w:tcBorders/>
            <w:shd w:fill="CCEEFF" w:val="clear"/>
            <w:vAlign w:val="center"/>
          </w:tcPr>
          <w:p>
            <w:pPr>
              <w:pStyle w:val="TableContents"/>
              <w:bidi w:val="0"/>
              <w:spacing w:before="0" w:after="283"/>
              <w:ind w:left="0" w:right="0" w:hanging="144"/>
              <w:jc w:val="left"/>
              <w:rPr/>
            </w:pPr>
            <w:r>
              <w:rPr/>
              <w:t>%</w:t>
            </w:r>
          </w:p>
        </w:tc>
      </w:tr>
      <w:tr>
        <w:trPr/>
        <w:tc>
          <w:tcPr>
            <w:tcW w:w="4400" w:type="dxa"/>
            <w:tcBorders/>
            <w:vAlign w:val="center"/>
          </w:tcPr>
          <w:p>
            <w:pPr>
              <w:pStyle w:val="TableContents"/>
              <w:bidi w:val="0"/>
              <w:spacing w:before="0" w:after="283"/>
              <w:jc w:val="left"/>
              <w:rPr>
                <w:sz w:val="20"/>
              </w:rPr>
            </w:pPr>
            <w:r>
              <w:rPr>
                <w:sz w:val="20"/>
              </w:rPr>
              <w:t>Bingyi Zhao</w:t>
            </w:r>
            <w:r>
              <w:rPr>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0.01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0.01</w:t>
            </w:r>
          </w:p>
        </w:tc>
        <w:tc>
          <w:tcPr>
            <w:tcW w:w="290" w:type="dxa"/>
            <w:tcBorders/>
            <w:vAlign w:val="center"/>
          </w:tcPr>
          <w:p>
            <w:pPr>
              <w:pStyle w:val="TableContents"/>
              <w:bidi w:val="0"/>
              <w:spacing w:before="0" w:after="283"/>
              <w:ind w:left="0" w:right="0" w:hanging="144"/>
              <w:jc w:val="left"/>
              <w:rPr/>
            </w:pPr>
            <w:r>
              <w:rPr/>
              <w:t>%</w:t>
            </w:r>
          </w:p>
        </w:tc>
      </w:tr>
      <w:tr>
        <w:trPr/>
        <w:tc>
          <w:tcPr>
            <w:tcW w:w="4400" w:type="dxa"/>
            <w:tcBorders/>
            <w:shd w:fill="CCEEFF" w:val="clear"/>
            <w:vAlign w:val="center"/>
          </w:tcPr>
          <w:p>
            <w:pPr>
              <w:pStyle w:val="TableContents"/>
              <w:bidi w:val="0"/>
              <w:spacing w:before="0" w:after="283"/>
              <w:jc w:val="left"/>
              <w:rPr/>
            </w:pPr>
            <w:r>
              <w:rPr/>
              <w:t>Xiaochun Li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44"/>
              <w:jc w:val="left"/>
              <w:rPr/>
            </w:pPr>
            <w:r>
              <w:rPr/>
              <w:t> </w:t>
            </w:r>
          </w:p>
        </w:tc>
      </w:tr>
      <w:tr>
        <w:trPr/>
        <w:tc>
          <w:tcPr>
            <w:tcW w:w="4400" w:type="dxa"/>
            <w:tcBorders/>
            <w:vAlign w:val="center"/>
          </w:tcPr>
          <w:p>
            <w:pPr>
              <w:pStyle w:val="TableContents"/>
              <w:bidi w:val="0"/>
              <w:spacing w:before="0" w:after="283"/>
              <w:jc w:val="left"/>
              <w:rPr/>
            </w:pPr>
            <w:r>
              <w:rPr/>
              <w:t>Quanshi Chen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44"/>
              <w:jc w:val="left"/>
              <w:rPr/>
            </w:pPr>
            <w:r>
              <w:rPr/>
              <w:t> </w:t>
            </w:r>
          </w:p>
        </w:tc>
      </w:tr>
      <w:tr>
        <w:trPr/>
        <w:tc>
          <w:tcPr>
            <w:tcW w:w="4400" w:type="dxa"/>
            <w:tcBorders/>
            <w:shd w:fill="CCEEFF" w:val="clear"/>
            <w:vAlign w:val="center"/>
          </w:tcPr>
          <w:p>
            <w:pPr>
              <w:pStyle w:val="TableContents"/>
              <w:bidi w:val="0"/>
              <w:spacing w:before="0" w:after="283"/>
              <w:jc w:val="left"/>
              <w:rPr/>
            </w:pPr>
            <w:r>
              <w:rPr/>
              <w:t>Jean Christophe von Pfetten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44"/>
              <w:jc w:val="left"/>
              <w:rPr/>
            </w:pPr>
            <w:r>
              <w:rPr/>
              <w:t> </w:t>
            </w:r>
          </w:p>
        </w:tc>
      </w:tr>
      <w:tr>
        <w:trPr/>
        <w:tc>
          <w:tcPr>
            <w:tcW w:w="4400" w:type="dxa"/>
            <w:tcBorders/>
            <w:vAlign w:val="center"/>
          </w:tcPr>
          <w:p>
            <w:pPr>
              <w:pStyle w:val="TableContents"/>
              <w:bidi w:val="0"/>
              <w:spacing w:before="0" w:after="283"/>
              <w:jc w:val="left"/>
              <w:rPr/>
            </w:pPr>
            <w:r>
              <w:rPr/>
              <w:t>All directors and executive officers as a group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1,831,544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36,805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8.06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20.55</w:t>
            </w:r>
          </w:p>
        </w:tc>
        <w:tc>
          <w:tcPr>
            <w:tcW w:w="290" w:type="dxa"/>
            <w:tcBorders/>
            <w:vAlign w:val="center"/>
          </w:tcPr>
          <w:p>
            <w:pPr>
              <w:pStyle w:val="TableContents"/>
              <w:bidi w:val="0"/>
              <w:spacing w:before="0" w:after="283"/>
              <w:ind w:left="0" w:right="0" w:hanging="144"/>
              <w:jc w:val="left"/>
              <w:rPr/>
            </w:pPr>
            <w:r>
              <w:rPr/>
              <w:t>%</w:t>
            </w:r>
          </w:p>
        </w:tc>
      </w:tr>
      <w:tr>
        <w:trPr/>
        <w:tc>
          <w:tcPr>
            <w:tcW w:w="4400" w:type="dxa"/>
            <w:tcBorders/>
            <w:shd w:fill="CCEEFF" w:val="clear"/>
            <w:vAlign w:val="center"/>
          </w:tcPr>
          <w:p>
            <w:pPr>
              <w:pStyle w:val="TableContents"/>
              <w:bidi w:val="0"/>
              <w:spacing w:before="0" w:after="283"/>
              <w:jc w:val="left"/>
              <w:rPr>
                <w:b/>
              </w:rPr>
            </w:pPr>
            <w:r>
              <w:rPr>
                <w:b/>
              </w:rPr>
              <w:t>5% Shareholders**: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44"/>
              <w:jc w:val="left"/>
              <w:rPr/>
            </w:pPr>
            <w:r>
              <w:rPr/>
              <w:t> </w:t>
            </w:r>
          </w:p>
        </w:tc>
      </w:tr>
      <w:tr>
        <w:trPr/>
        <w:tc>
          <w:tcPr>
            <w:tcW w:w="4400" w:type="dxa"/>
            <w:tcBorders/>
            <w:vAlign w:val="center"/>
          </w:tcPr>
          <w:p>
            <w:pPr>
              <w:pStyle w:val="TableContents"/>
              <w:bidi w:val="0"/>
              <w:spacing w:before="0" w:after="283"/>
              <w:jc w:val="left"/>
              <w:rPr>
                <w:sz w:val="20"/>
              </w:rPr>
            </w:pPr>
            <w:r>
              <w:rPr>
                <w:sz w:val="20"/>
              </w:rPr>
              <w:t>U Trend Limited</w:t>
            </w:r>
            <w:r>
              <w:rPr>
                <w:position w:val="7"/>
                <w:sz w:val="16"/>
                <w:sz w:val="20"/>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14,736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0.07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5.50</w:t>
            </w:r>
          </w:p>
        </w:tc>
        <w:tc>
          <w:tcPr>
            <w:tcW w:w="290" w:type="dxa"/>
            <w:tcBorders/>
            <w:vAlign w:val="center"/>
          </w:tcPr>
          <w:p>
            <w:pPr>
              <w:pStyle w:val="TableContents"/>
              <w:bidi w:val="0"/>
              <w:spacing w:before="0" w:after="283"/>
              <w:ind w:left="0" w:right="0" w:hanging="144"/>
              <w:jc w:val="left"/>
              <w:rPr/>
            </w:pPr>
            <w:r>
              <w:rPr/>
              <w:t>%</w:t>
            </w:r>
          </w:p>
        </w:tc>
      </w:tr>
      <w:tr>
        <w:trPr/>
        <w:tc>
          <w:tcPr>
            <w:tcW w:w="4400" w:type="dxa"/>
            <w:tcBorders/>
            <w:shd w:fill="CCEEFF" w:val="clear"/>
            <w:vAlign w:val="center"/>
          </w:tcPr>
          <w:p>
            <w:pPr>
              <w:pStyle w:val="TableContents"/>
              <w:bidi w:val="0"/>
              <w:spacing w:before="0" w:after="283"/>
              <w:jc w:val="left"/>
              <w:rPr>
                <w:sz w:val="20"/>
              </w:rPr>
            </w:pPr>
            <w:r>
              <w:rPr>
                <w:sz w:val="20"/>
              </w:rPr>
              <w:t>Upincar Limited</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14,944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0.06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5.57</w:t>
            </w:r>
          </w:p>
        </w:tc>
        <w:tc>
          <w:tcPr>
            <w:tcW w:w="290" w:type="dxa"/>
            <w:tcBorders/>
            <w:shd w:fill="CCEEFF" w:val="clear"/>
            <w:vAlign w:val="center"/>
          </w:tcPr>
          <w:p>
            <w:pPr>
              <w:pStyle w:val="TableContents"/>
              <w:bidi w:val="0"/>
              <w:spacing w:before="0" w:after="283"/>
              <w:ind w:left="0" w:right="0" w:hanging="144"/>
              <w:jc w:val="left"/>
              <w:rPr/>
            </w:pPr>
            <w:r>
              <w:rPr/>
              <w:t>%</w:t>
            </w:r>
          </w:p>
        </w:tc>
      </w:tr>
      <w:tr>
        <w:trPr/>
        <w:tc>
          <w:tcPr>
            <w:tcW w:w="4400" w:type="dxa"/>
            <w:tcBorders/>
            <w:vAlign w:val="center"/>
          </w:tcPr>
          <w:p>
            <w:pPr>
              <w:pStyle w:val="TableContents"/>
              <w:bidi w:val="0"/>
              <w:spacing w:before="0" w:after="283"/>
              <w:jc w:val="left"/>
              <w:rPr>
                <w:sz w:val="20"/>
              </w:rPr>
            </w:pPr>
            <w:r>
              <w:rPr>
                <w:sz w:val="20"/>
              </w:rPr>
              <w:t>U Create Limited</w:t>
            </w:r>
            <w:r>
              <w:rPr>
                <w:position w:val="7"/>
                <w:sz w:val="16"/>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7,125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0.03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2.66</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2F, Zuoan 88 A, Lujiazui, Shanghai, People’s Republic of China.</w:t>
            </w:r>
          </w:p>
        </w:tc>
      </w:tr>
      <w:tr>
        <w:trPr/>
        <w:tc>
          <w:tcPr>
            <w:tcW w:w="247"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office of each of the 5% beneficial owners, unless stated otherwise, are located at Intershore Chambers, Road Town, Tortola,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1,050 Class A Ordinary Shares and 14,736 Class B Ordinary Shares held by U Trend Limited, a British Virgin Islands company which is 100% owned by Mr. Jia Li; (ii) 14,944 Class B Ordinary Shares held by Upincar Limited, a British Virgin Islands company 100% owned by Mr. Jia Li; (iii) 7,125 Class B Ordinary Shares held by U Create Limited, a British Virgin Islands company 100% owned by Mr. Jia Li; and (iv) 1,829,269 Class A Ordinary Shares directly held by Mr. Jia Li. The business address of Mr. Jia Li is 2F, Zuoan 88 A, Lujiazui, Shanghai, People’s Republic of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1,225 Class A Ordinary Shares held by U Battery Limited, a British Virgin Islands company 100% owned by Ms. Bingyi Zhao. The business address of Ms. Bingyi Zhao is 2F, Zuoan 88 A, Lujiazui, Shanghai, People’s Republic of China.</w:t>
            </w:r>
          </w:p>
        </w:tc>
      </w:tr>
      <w:tr>
        <w:trPr/>
        <w:tc>
          <w:tcPr>
            <w:tcW w:w="25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1,050 Class A Ordinary Shares and 147,359 Class B Ordinary Shares held by U Trend Limited, a British Virgin Islands company which is 100% owned by Mr. Jia Li. The address of Mr. Jia Li is 2F, Zuoan 88 A, Lujiazui, Shanghai, People’s Republic of China.</w:t>
            </w:r>
          </w:p>
        </w:tc>
      </w:tr>
      <w:tr>
        <w:trPr/>
        <w:tc>
          <w:tcPr>
            <w:tcW w:w="25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14,944 Class B Ordinary Shares held by Upincar Limited, a British Virgin Islands company 100% owned by Mr. Jia Li. The business address of Mr. Jia Li is 2F, Zuoan 88 A, Lujiazui, Shanghai, People’s Republic of China.</w:t>
            </w:r>
          </w:p>
        </w:tc>
      </w:tr>
      <w:tr>
        <w:trPr/>
        <w:tc>
          <w:tcPr>
            <w:tcW w:w="25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7,125 Class B Ordinary Shares held by U Create Limited, a British Virgin Islands company 100% owned by Mr. Jia Li. The business address of Mr. Jia Li is 2F, Zuoan 88 A, Lujiazui, Shanghai, People’s Republic of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 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31"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2025, 2024 and 2023, the related parties that transacted with the Company and their respective relationship to the Company listed as below:</w:t>
      </w:r>
    </w:p>
    <w:p>
      <w:pPr>
        <w:pStyle w:val="TextBody"/>
        <w:bidi w:val="0"/>
        <w:spacing w:before="0" w:after="0"/>
        <w:ind w:left="3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6347"/>
        <w:gridCol w:w="90"/>
        <w:gridCol w:w="3768"/>
      </w:tblGrid>
      <w:tr>
        <w:trPr/>
        <w:tc>
          <w:tcPr>
            <w:tcW w:w="6347"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Names of the related parties</w:t>
            </w:r>
          </w:p>
        </w:tc>
        <w:tc>
          <w:tcPr>
            <w:tcW w:w="90" w:type="dxa"/>
            <w:tcBorders/>
            <w:tcMar>
              <w:bottom w:w="0" w:type="dxa"/>
            </w:tcMar>
            <w:vAlign w:val="center"/>
          </w:tcPr>
          <w:p>
            <w:pPr>
              <w:pStyle w:val="TableContents"/>
              <w:bidi w:val="0"/>
              <w:spacing w:before="0" w:after="283"/>
              <w:jc w:val="left"/>
              <w:rPr/>
            </w:pPr>
            <w:r>
              <w:rPr/>
              <w:t> </w:t>
            </w:r>
          </w:p>
        </w:tc>
        <w:tc>
          <w:tcPr>
            <w:tcW w:w="3768"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rPr>
            </w:pPr>
            <w:r>
              <w:rPr>
                <w:rFonts w:ascii="Times New Roman;Times;Serif" w:hAnsi="Times New Roman;Times;Serif"/>
                <w:b/>
              </w:rPr>
              <w:t>Relationship with the Group</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Hangzhou Youyue Travel Technology Co., Ltd. (“Hangzhou Youyue”)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Bingyi Zhao</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Shanghai Youzhang Commerical Information Consulting Partnership (Limited Partnership) (“Shanghai Youzhang”)</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Ningbo Youheng Automobile Service Co., Ltd. (“Ningbo Youheng Automobile”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Zhejiang Youxiaodian Automobile Service Co., Ltd. (“Zhejiang Youxiaodian”)</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Qingshan Wei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Controlling shareholder of U Power Limited</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Youjia Technology (Shanghai) Co., Ltd. (“Youjia Technology”)</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Shanghai Youpinsuoer New Energy Technology Co., Ltd. (“Shanghai Youpinsuoer”)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 Li</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Controlling shareholder, Director and CEO of U Power Limited</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Bingyi Zhao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Director and Chief Financial Officer of U Power Limited</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Shandong Youyidian Automobile Technology Co., Ltd. (“Shandong Youyidian”)</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Youche Jingpin E-commerce (Shanghai) Co., Ltd. (“Youche Jingpin”)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Shanghai Youcang Business Consulting Partnership (Limited Partnership) (“Shanghai Youcang”)</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Nanmu (Shanghai) Financial Leasing Co., Ltd. (“Nanmu”)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affiliate of Jia Li</w:t>
            </w:r>
          </w:p>
        </w:tc>
      </w:tr>
      <w:tr>
        <w:trPr/>
        <w:tc>
          <w:tcPr>
            <w:tcW w:w="6347"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UNEX EV B.V.</w:t>
            </w:r>
          </w:p>
        </w:tc>
        <w:tc>
          <w:tcPr>
            <w:tcW w:w="90" w:type="dxa"/>
            <w:tcBorders/>
            <w:tcMar>
              <w:bottom w:w="0" w:type="dxa"/>
            </w:tcMar>
            <w:vAlign w:val="center"/>
          </w:tcPr>
          <w:p>
            <w:pPr>
              <w:pStyle w:val="TableContents"/>
              <w:bidi w:val="0"/>
              <w:spacing w:before="0" w:after="283"/>
              <w:jc w:val="left"/>
              <w:rPr/>
            </w:pPr>
            <w:r>
              <w:rPr/>
              <w:t> </w:t>
            </w:r>
          </w:p>
        </w:tc>
        <w:tc>
          <w:tcPr>
            <w:tcW w:w="3768"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An equity method investee of Energy U Limited</w:t>
            </w:r>
          </w:p>
        </w:tc>
      </w:tr>
      <w:tr>
        <w:trPr/>
        <w:tc>
          <w:tcPr>
            <w:tcW w:w="63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 Li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6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Director of U Power Limited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Amounts due from related parties</w:t>
      </w:r>
    </w:p>
    <w:p>
      <w:pPr>
        <w:pStyle w:val="TextBody"/>
        <w:bidi w:val="0"/>
        <w:spacing w:before="0" w:after="0"/>
        <w:jc w:val="center"/>
        <w:rPr>
          <w:caps w:val="false"/>
          <w:smallCaps w:val="false"/>
        </w:rPr>
      </w:pPr>
      <w:r>
        <w:rPr>
          <w:caps w:val="false"/>
          <w:smallCaps w:val="false"/>
        </w:rPr>
        <w:t> </w:t>
      </w:r>
    </w:p>
    <w:tbl>
      <w:tblPr>
        <w:tblW w:w="9842" w:type="dxa"/>
        <w:jc w:val="left"/>
        <w:tblInd w:w="0" w:type="dxa"/>
        <w:tblLayout w:type="fixed"/>
        <w:tblCellMar>
          <w:top w:w="0" w:type="dxa"/>
          <w:left w:w="0" w:type="dxa"/>
          <w:bottom w:w="0" w:type="dxa"/>
          <w:right w:w="0" w:type="dxa"/>
        </w:tblCellMar>
      </w:tblPr>
      <w:tblGrid>
        <w:gridCol w:w="4745"/>
        <w:gridCol w:w="90"/>
        <w:gridCol w:w="146"/>
        <w:gridCol w:w="1358"/>
        <w:gridCol w:w="90"/>
        <w:gridCol w:w="90"/>
        <w:gridCol w:w="110"/>
        <w:gridCol w:w="1394"/>
        <w:gridCol w:w="90"/>
        <w:gridCol w:w="90"/>
        <w:gridCol w:w="110"/>
        <w:gridCol w:w="1394"/>
        <w:gridCol w:w="135"/>
      </w:tblGrid>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135" w:type="dxa"/>
            <w:tcBorders/>
            <w:vAlign w:val="center"/>
          </w:tcPr>
          <w:p>
            <w:pPr>
              <w:pStyle w:val="TableContents"/>
              <w:bidi w:val="0"/>
              <w:spacing w:before="0" w:after="283"/>
              <w:jc w:val="center"/>
              <w:rPr/>
            </w:pPr>
            <w:r>
              <w:rPr/>
              <w:t> </w:t>
            </w:r>
          </w:p>
        </w:tc>
      </w:tr>
      <w:tr>
        <w:trPr/>
        <w:tc>
          <w:tcPr>
            <w:tcW w:w="4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3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45" w:type="dxa"/>
            <w:tcBorders/>
            <w:shd w:fill="CCEEFF" w:val="clear"/>
            <w:vAlign w:val="center"/>
          </w:tcPr>
          <w:p>
            <w:pPr>
              <w:pStyle w:val="TableContents"/>
              <w:bidi w:val="0"/>
              <w:spacing w:before="0" w:after="283"/>
              <w:jc w:val="left"/>
              <w:rPr/>
            </w:pPr>
            <w:r>
              <w:rPr/>
              <w:t>Nanmu (Shanghai) Financial Leasing Co., Ltd.</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20,001,000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60,244,423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45" w:type="dxa"/>
            <w:tcBorders/>
            <w:vAlign w:val="center"/>
          </w:tcPr>
          <w:p>
            <w:pPr>
              <w:pStyle w:val="TableContents"/>
              <w:bidi w:val="0"/>
              <w:spacing w:before="0" w:after="283"/>
              <w:jc w:val="left"/>
              <w:rPr/>
            </w:pPr>
            <w:r>
              <w:rPr/>
              <w:t>Jia Li</w:t>
            </w:r>
            <w:r>
              <w:rPr>
                <w:position w:val="8"/>
                <w:sz w:val="19"/>
              </w:rPr>
              <w:t>(2)</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582,701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45" w:type="dxa"/>
            <w:tcBorders/>
            <w:shd w:fill="CCEEFF" w:val="clear"/>
            <w:vAlign w:val="center"/>
          </w:tcPr>
          <w:p>
            <w:pPr>
              <w:pStyle w:val="TableContents"/>
              <w:bidi w:val="0"/>
              <w:spacing w:before="0" w:after="283"/>
              <w:jc w:val="left"/>
              <w:rPr/>
            </w:pPr>
            <w:r>
              <w:rPr/>
              <w:t>Ke Li</w:t>
            </w: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437,958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45" w:type="dxa"/>
            <w:tcBorders/>
            <w:vAlign w:val="center"/>
          </w:tcPr>
          <w:p>
            <w:pPr>
              <w:pStyle w:val="TableContents"/>
              <w:bidi w:val="0"/>
              <w:spacing w:before="0" w:after="283"/>
              <w:jc w:val="left"/>
              <w:rPr/>
            </w:pPr>
            <w:r>
              <w:rPr/>
              <w:t>Youche Jingpin</w:t>
            </w:r>
            <w:r>
              <w:rPr>
                <w:position w:val="8"/>
                <w:sz w:val="19"/>
              </w:rPr>
              <w:t>(3)</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20,200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45" w:type="dxa"/>
            <w:tcBorders/>
            <w:shd w:fill="CCEEFF" w:val="clear"/>
            <w:vAlign w:val="center"/>
          </w:tcPr>
          <w:p>
            <w:pPr>
              <w:pStyle w:val="TableContents"/>
              <w:bidi w:val="0"/>
              <w:spacing w:before="0" w:after="283"/>
              <w:jc w:val="left"/>
              <w:rPr/>
            </w:pPr>
            <w:r>
              <w:rPr/>
              <w:t>Shanghai Youcang</w:t>
            </w:r>
            <w:r>
              <w:rPr>
                <w:position w:val="8"/>
                <w:sz w:val="19"/>
              </w:rPr>
              <w:t>(4)</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110,500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45" w:type="dxa"/>
            <w:tcBorders/>
            <w:vAlign w:val="center"/>
          </w:tcPr>
          <w:p>
            <w:pPr>
              <w:pStyle w:val="TableContents"/>
              <w:bidi w:val="0"/>
              <w:spacing w:before="0" w:after="283"/>
              <w:jc w:val="left"/>
              <w:rPr/>
            </w:pPr>
            <w:r>
              <w:rPr/>
              <w:t>Bingyi Zhao</w:t>
            </w:r>
            <w:r>
              <w:rPr>
                <w:position w:val="8"/>
                <w:sz w:val="19"/>
              </w:rPr>
              <w:t>(5)</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11,516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535,510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45" w:type="dxa"/>
            <w:tcBorders/>
            <w:shd w:fill="CCEEFF" w:val="clear"/>
            <w:vAlign w:val="center"/>
          </w:tcPr>
          <w:p>
            <w:pPr>
              <w:pStyle w:val="TableContents"/>
              <w:bidi w:val="0"/>
              <w:spacing w:before="0" w:after="283"/>
              <w:jc w:val="left"/>
              <w:rPr/>
            </w:pPr>
            <w:r>
              <w:rPr/>
              <w:t>Huzhou Zheyou New Energy Sales Co., Ltd.</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12" w:space="0" w:color="000000"/>
            </w:tcBorders>
            <w:shd w:fill="CCEEFF" w:val="clear"/>
            <w:tcMar>
              <w:bottom w:w="28" w:type="dxa"/>
            </w:tcMar>
            <w:vAlign w:val="center"/>
          </w:tcPr>
          <w:p>
            <w:pPr>
              <w:pStyle w:val="TableContents"/>
              <w:bidi w:val="0"/>
              <w:spacing w:before="0" w:after="283"/>
              <w:jc w:val="right"/>
              <w:rPr/>
            </w:pPr>
            <w:r>
              <w:rPr/>
              <w:t>30,000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tcMar>
              <w:bottom w:w="28" w:type="dxa"/>
            </w:tcMar>
            <w:vAlign w:val="center"/>
          </w:tcPr>
          <w:p>
            <w:pPr>
              <w:pStyle w:val="TableContents"/>
              <w:bidi w:val="0"/>
              <w:spacing w:before="0" w:after="283"/>
              <w:jc w:val="right"/>
              <w:rPr>
                <w:b/>
              </w:rPr>
            </w:pPr>
            <w:r>
              <w:rPr>
                <w:b/>
              </w:rPr>
              <w:t>142,216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4" w:type="dxa"/>
            <w:tcBorders>
              <w:bottom w:val="double" w:sz="10" w:space="0" w:color="000000"/>
            </w:tcBorders>
            <w:tcMar>
              <w:bottom w:w="28" w:type="dxa"/>
            </w:tcMar>
            <w:vAlign w:val="center"/>
          </w:tcPr>
          <w:p>
            <w:pPr>
              <w:pStyle w:val="TableContents"/>
              <w:bidi w:val="0"/>
              <w:spacing w:before="0" w:after="283"/>
              <w:jc w:val="right"/>
              <w:rPr>
                <w:b/>
              </w:rPr>
            </w:pPr>
            <w:r>
              <w:rPr>
                <w:b/>
              </w:rPr>
              <w:t>21,657,170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4" w:type="dxa"/>
            <w:tcBorders>
              <w:bottom w:val="double" w:sz="10" w:space="0" w:color="000000"/>
            </w:tcBorders>
            <w:tcMar>
              <w:bottom w:w="28" w:type="dxa"/>
            </w:tcMar>
            <w:vAlign w:val="center"/>
          </w:tcPr>
          <w:p>
            <w:pPr>
              <w:pStyle w:val="TableContents"/>
              <w:bidi w:val="0"/>
              <w:spacing w:before="0" w:after="283"/>
              <w:jc w:val="right"/>
              <w:rPr>
                <w:b/>
              </w:rPr>
            </w:pPr>
            <w:r>
              <w:rPr>
                <w:b/>
              </w:rPr>
              <w:t>60,274,423</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Nanmu (Shanghai) Financial Leasing Co., Ltd. represent an investment deposit to Nanmu (Shanghai) Financial Leasing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Jia Li and Ke Li represent the advances paid to Jia Li and Ke Li by Youpin Shandong, SH Youxu and Energy U Limited for their market expansion efforts, at an interest rate of 12.4% and with a due date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Youche Jingpin represent Youpin’s receivables of rental and corporate service fees due from Youche Jingpin incurred in November 2017 and February 2018.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Shanghai Youcang represent the advances paid by AHYS to Shanghai Youcang regarding the transfer of 24.11% equity interests of Youpin in May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Bingyi Zhao represent the advances paid by Youpin Shandong to Bingyi Zhao for her market expansion efforts.</w:t>
            </w:r>
          </w:p>
        </w:tc>
      </w:tr>
    </w:tbl>
    <w:p>
      <w:pPr>
        <w:pStyle w:val="TextBody"/>
        <w:bidi w:val="0"/>
        <w:spacing w:before="0" w:after="0"/>
        <w:ind w:left="892"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89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Amounts due to related parties</w:t>
      </w:r>
    </w:p>
    <w:p>
      <w:pPr>
        <w:pStyle w:val="TextBody"/>
        <w:bidi w:val="0"/>
        <w:spacing w:before="0" w:after="0"/>
        <w:ind w:left="0" w:right="0" w:firstLine="451"/>
        <w:jc w:val="left"/>
        <w:rPr>
          <w:caps w:val="false"/>
          <w:smallCaps w:val="false"/>
        </w:rPr>
      </w:pPr>
      <w:r>
        <w:rPr>
          <w:caps w:val="false"/>
          <w:smallCaps w:val="false"/>
        </w:rPr>
        <w:t> </w:t>
      </w:r>
    </w:p>
    <w:tbl>
      <w:tblPr>
        <w:tblW w:w="6842" w:type="dxa"/>
        <w:jc w:val="left"/>
        <w:tblInd w:w="0" w:type="dxa"/>
        <w:tblLayout w:type="fixed"/>
        <w:tblCellMar>
          <w:top w:w="0" w:type="dxa"/>
          <w:left w:w="0" w:type="dxa"/>
          <w:bottom w:w="0" w:type="dxa"/>
          <w:right w:w="0" w:type="dxa"/>
        </w:tblCellMar>
      </w:tblPr>
      <w:tblGrid>
        <w:gridCol w:w="1805"/>
        <w:gridCol w:w="90"/>
        <w:gridCol w:w="122"/>
        <w:gridCol w:w="1382"/>
        <w:gridCol w:w="90"/>
        <w:gridCol w:w="90"/>
        <w:gridCol w:w="122"/>
        <w:gridCol w:w="1382"/>
        <w:gridCol w:w="90"/>
        <w:gridCol w:w="90"/>
        <w:gridCol w:w="118"/>
        <w:gridCol w:w="1326"/>
        <w:gridCol w:w="135"/>
      </w:tblGrid>
      <w:tr>
        <w:trPr/>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br/>
              <w:t>2025</w:t>
            </w:r>
          </w:p>
        </w:tc>
        <w:tc>
          <w:tcPr>
            <w:tcW w:w="13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3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 Li</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4,170,000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3,019,704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582,192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Bingyi Zhao</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673,071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218,979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UNEX EV</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1,037,125</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Youyue</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pPr>
            <w:r>
              <w:rPr/>
              <w:t>5,502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2" w:type="dxa"/>
            <w:tcBorders>
              <w:bottom w:val="double" w:sz="10" w:space="0" w:color="000000"/>
            </w:tcBorders>
            <w:tcMar>
              <w:bottom w:w="28" w:type="dxa"/>
            </w:tcMar>
            <w:vAlign w:val="center"/>
          </w:tcPr>
          <w:p>
            <w:pPr>
              <w:pStyle w:val="TableContents"/>
              <w:bidi w:val="0"/>
              <w:spacing w:before="0" w:after="283"/>
              <w:jc w:val="right"/>
              <w:rPr>
                <w:b/>
              </w:rPr>
            </w:pPr>
            <w:r>
              <w:rPr>
                <w:b/>
              </w:rPr>
              <w:t>5,430,765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2" w:type="dxa"/>
            <w:tcBorders>
              <w:bottom w:val="double" w:sz="10" w:space="0" w:color="000000"/>
            </w:tcBorders>
            <w:tcMar>
              <w:bottom w:w="28" w:type="dxa"/>
            </w:tcMar>
            <w:vAlign w:val="center"/>
          </w:tcPr>
          <w:p>
            <w:pPr>
              <w:pStyle w:val="TableContents"/>
              <w:bidi w:val="0"/>
              <w:spacing w:before="0" w:after="283"/>
              <w:jc w:val="right"/>
              <w:rPr>
                <w:b/>
              </w:rPr>
            </w:pPr>
            <w:r>
              <w:rPr>
                <w:b/>
              </w:rPr>
              <w:t>3,238,683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6" w:type="dxa"/>
            <w:tcBorders>
              <w:bottom w:val="double" w:sz="10" w:space="0" w:color="000000"/>
            </w:tcBorders>
            <w:tcMar>
              <w:bottom w:w="28" w:type="dxa"/>
            </w:tcMar>
            <w:vAlign w:val="center"/>
          </w:tcPr>
          <w:p>
            <w:pPr>
              <w:pStyle w:val="TableContents"/>
              <w:bidi w:val="0"/>
              <w:spacing w:before="0" w:after="283"/>
              <w:jc w:val="right"/>
              <w:rPr>
                <w:b/>
              </w:rPr>
            </w:pPr>
            <w:r>
              <w:rPr>
                <w:b/>
              </w:rPr>
              <w:t>1,037,125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Ke Li, Jia Li, and Bingyi Zhao represent the interest-free loans to SH Youxu, Energy U Limited, and U Power Limited for their operation purposes.</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90"/>
        <w:gridCol w:w="75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UNEX EV represent the loans to Energy U Limited for its operation purpose.</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290"/>
        <w:gridCol w:w="97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Hangzhou Youyue represent the labor costs paid by Hangzhou Youyu on behalf of Liaoning Youguan.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Related party’s transaction</w:t>
      </w:r>
    </w:p>
    <w:p>
      <w:pPr>
        <w:pStyle w:val="TextBody"/>
        <w:bidi w:val="0"/>
        <w:spacing w:before="0" w:after="0"/>
        <w:ind w:left="0" w:right="0" w:firstLine="451"/>
        <w:jc w:val="left"/>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5345"/>
        <w:gridCol w:w="90"/>
        <w:gridCol w:w="90"/>
        <w:gridCol w:w="1130"/>
        <w:gridCol w:w="125"/>
        <w:gridCol w:w="90"/>
        <w:gridCol w:w="90"/>
        <w:gridCol w:w="1130"/>
        <w:gridCol w:w="125"/>
        <w:gridCol w:w="90"/>
        <w:gridCol w:w="90"/>
        <w:gridCol w:w="1010"/>
        <w:gridCol w:w="170"/>
      </w:tblGrid>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fiscal year ended </w:t>
              <w:br/>
              <w:t>December 31,</w:t>
            </w:r>
          </w:p>
        </w:tc>
        <w:tc>
          <w:tcPr>
            <w:tcW w:w="17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7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Loans to Nanmu (Shanghai) Financial Leasing Co., Ltd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20,001,000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40,243,423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5,725,504</w:t>
            </w:r>
          </w:p>
        </w:tc>
        <w:tc>
          <w:tcPr>
            <w:tcW w:w="170"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Cash Advance to Jia Li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582,701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(582,701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(82,902</w:t>
            </w:r>
          </w:p>
        </w:tc>
        <w:tc>
          <w:tcPr>
            <w:tcW w:w="170" w:type="dxa"/>
            <w:tcBorders/>
            <w:vAlign w:val="center"/>
          </w:tcPr>
          <w:p>
            <w:pPr>
              <w:pStyle w:val="TableContents"/>
              <w:bidi w:val="0"/>
              <w:spacing w:before="0" w:after="283"/>
              <w:jc w:val="left"/>
              <w:rPr/>
            </w:pPr>
            <w:r>
              <w:rPr/>
              <w:t>)</w:t>
            </w:r>
          </w:p>
        </w:tc>
      </w:tr>
      <w:tr>
        <w:trPr/>
        <w:tc>
          <w:tcPr>
            <w:tcW w:w="5345" w:type="dxa"/>
            <w:tcBorders/>
            <w:shd w:fill="CCEEFF" w:val="clear"/>
            <w:vAlign w:val="center"/>
          </w:tcPr>
          <w:p>
            <w:pPr>
              <w:pStyle w:val="TableContents"/>
              <w:bidi w:val="0"/>
              <w:spacing w:before="0" w:after="283"/>
              <w:jc w:val="left"/>
              <w:rPr/>
            </w:pPr>
            <w:r>
              <w:rPr/>
              <w:t>Cash Advance to Ke Li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437,958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(62,309</w:t>
            </w:r>
          </w:p>
        </w:tc>
        <w:tc>
          <w:tcPr>
            <w:tcW w:w="170" w:type="dxa"/>
            <w:tcBorders/>
            <w:shd w:fill="CCEEFF" w:val="clear"/>
            <w:vAlign w:val="center"/>
          </w:tcPr>
          <w:p>
            <w:pPr>
              <w:pStyle w:val="TableContents"/>
              <w:bidi w:val="0"/>
              <w:spacing w:before="0" w:after="283"/>
              <w:jc w:val="left"/>
              <w:rPr/>
            </w:pPr>
            <w:r>
              <w:rPr/>
              <w:t>)</w:t>
            </w:r>
          </w:p>
        </w:tc>
      </w:tr>
      <w:tr>
        <w:trPr/>
        <w:tc>
          <w:tcPr>
            <w:tcW w:w="5345" w:type="dxa"/>
            <w:tcBorders/>
            <w:vAlign w:val="center"/>
          </w:tcPr>
          <w:p>
            <w:pPr>
              <w:pStyle w:val="TableContents"/>
              <w:bidi w:val="0"/>
              <w:spacing w:before="0" w:after="283"/>
              <w:jc w:val="left"/>
              <w:rPr/>
            </w:pPr>
            <w:r>
              <w:rPr/>
              <w:t>Loans/ (Repayment of loans) to Shanghai Youcang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(10,500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(14,277</w:t>
            </w:r>
          </w:p>
        </w:tc>
        <w:tc>
          <w:tcPr>
            <w:tcW w:w="170" w:type="dxa"/>
            <w:tcBorders/>
            <w:vAlign w:val="center"/>
          </w:tcPr>
          <w:p>
            <w:pPr>
              <w:pStyle w:val="TableContents"/>
              <w:bidi w:val="0"/>
              <w:spacing w:before="0" w:after="283"/>
              <w:jc w:val="left"/>
              <w:rPr/>
            </w:pPr>
            <w:r>
              <w:rPr/>
              <w:t>)</w:t>
            </w:r>
          </w:p>
        </w:tc>
      </w:tr>
      <w:tr>
        <w:trPr/>
        <w:tc>
          <w:tcPr>
            <w:tcW w:w="5345" w:type="dxa"/>
            <w:tcBorders/>
            <w:shd w:fill="CCEEFF" w:val="clear"/>
            <w:vAlign w:val="center"/>
          </w:tcPr>
          <w:p>
            <w:pPr>
              <w:pStyle w:val="TableContents"/>
              <w:bidi w:val="0"/>
              <w:spacing w:before="0" w:after="283"/>
              <w:jc w:val="left"/>
              <w:rPr/>
            </w:pPr>
            <w:r>
              <w:rPr/>
              <w:t>Cash Advance to Bingyi Zhao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380,254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(535,510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(76,188</w:t>
            </w:r>
          </w:p>
        </w:tc>
        <w:tc>
          <w:tcPr>
            <w:tcW w:w="170" w:type="dxa"/>
            <w:tcBorders/>
            <w:shd w:fill="CCEEFF" w:val="clear"/>
            <w:vAlign w:val="center"/>
          </w:tcPr>
          <w:p>
            <w:pPr>
              <w:pStyle w:val="TableContents"/>
              <w:bidi w:val="0"/>
              <w:spacing w:before="0" w:after="283"/>
              <w:jc w:val="left"/>
              <w:rPr/>
            </w:pPr>
            <w:r>
              <w:rPr/>
              <w:t>)</w:t>
            </w:r>
          </w:p>
        </w:tc>
      </w:tr>
      <w:tr>
        <w:trPr/>
        <w:tc>
          <w:tcPr>
            <w:tcW w:w="5345" w:type="dxa"/>
            <w:tcBorders/>
            <w:vAlign w:val="center"/>
          </w:tcPr>
          <w:p>
            <w:pPr>
              <w:pStyle w:val="TableContents"/>
              <w:bidi w:val="0"/>
              <w:spacing w:before="0" w:after="283"/>
              <w:jc w:val="left"/>
              <w:rPr/>
            </w:pPr>
            <w:r>
              <w:rPr/>
              <w:t>Repayment of receivables to Youche Jingpin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Deposit to Huzhou Zheyou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4,268</w:t>
            </w:r>
          </w:p>
        </w:tc>
        <w:tc>
          <w:tcPr>
            <w:tcW w:w="170"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Repayment of loans from Jia Li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(582,192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Repayment of loans from Ke Li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(1,150,296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(3,019,704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(429,619</w:t>
            </w:r>
          </w:p>
        </w:tc>
        <w:tc>
          <w:tcPr>
            <w:tcW w:w="170" w:type="dxa"/>
            <w:tcBorders/>
            <w:shd w:fill="CCEEFF" w:val="clear"/>
            <w:vAlign w:val="center"/>
          </w:tcPr>
          <w:p>
            <w:pPr>
              <w:pStyle w:val="TableContents"/>
              <w:bidi w:val="0"/>
              <w:spacing w:before="0" w:after="283"/>
              <w:jc w:val="left"/>
              <w:rPr/>
            </w:pPr>
            <w:r>
              <w:rPr/>
              <w:t>)</w:t>
            </w:r>
          </w:p>
        </w:tc>
      </w:tr>
      <w:tr>
        <w:trPr/>
        <w:tc>
          <w:tcPr>
            <w:tcW w:w="5345" w:type="dxa"/>
            <w:tcBorders/>
            <w:vAlign w:val="center"/>
          </w:tcPr>
          <w:p>
            <w:pPr>
              <w:pStyle w:val="TableContents"/>
              <w:bidi w:val="0"/>
              <w:spacing w:before="0" w:after="283"/>
              <w:jc w:val="left"/>
              <w:rPr/>
            </w:pPr>
            <w:r>
              <w:rPr/>
              <w:t>Repayment of loans from Bingyi Zhao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(454,092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(218,979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(31,155</w:t>
            </w:r>
          </w:p>
        </w:tc>
        <w:tc>
          <w:tcPr>
            <w:tcW w:w="170" w:type="dxa"/>
            <w:tcBorders/>
            <w:vAlign w:val="center"/>
          </w:tcPr>
          <w:p>
            <w:pPr>
              <w:pStyle w:val="TableContents"/>
              <w:bidi w:val="0"/>
              <w:spacing w:before="0" w:after="283"/>
              <w:jc w:val="left"/>
              <w:rPr/>
            </w:pPr>
            <w:r>
              <w:rPr/>
              <w:t>)</w:t>
            </w:r>
          </w:p>
        </w:tc>
      </w:tr>
      <w:tr>
        <w:trPr/>
        <w:tc>
          <w:tcPr>
            <w:tcW w:w="5345" w:type="dxa"/>
            <w:tcBorders/>
            <w:shd w:fill="CCEEFF" w:val="clear"/>
            <w:vAlign w:val="center"/>
          </w:tcPr>
          <w:p>
            <w:pPr>
              <w:pStyle w:val="TableContents"/>
              <w:bidi w:val="0"/>
              <w:spacing w:before="0" w:after="283"/>
              <w:jc w:val="left"/>
              <w:rPr/>
            </w:pPr>
            <w:r>
              <w:rPr/>
              <w:t>Loans from UNEX EV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1,037,125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147,554</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left"/>
              <w:rPr/>
            </w:pPr>
            <w:r>
              <w:rPr/>
              <w:t>Loans / (Repayment of loans)from Hangzhou Youyue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451"/>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Interests of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Statements and 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 — B. Business Overview —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In addition, our shareholders may by ordinary resolution declare a dividend, but no dividend may exceed the amount recommended by our board of directors. In either case, all dividends are subject to certain restrictions under Cayman Islands law, namely that we may only pay dividends out of profits or share premium, and provided that in no circumstances may a dividend be paid if it would result in us being unable to pay our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plan to declare or pay any cash dividends on our Class A Ordinary Shares in the foreseeable future. We intend to retain most, if not all, of our available funds and future earnings to operate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in the Cayman Islands. We rely principally on dividends distributed by our PRC subsidiaries and payments from PRC subsidiaries for our cash requirements, including distribution of dividends to our shareholders. Dividends distributed by our PRC subsidiaries are subject to PRC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PRC regulations may restrict the ability of our PRC subsidiaries to pay dividends to us and only allow a PRC company to pay dividends out of its accumulated distributable after-tax profits as determined in accordance with its articles of association and the PRC accounting standards and regulations. See “Item 3. Key Information — D. Risk Factors — Risks Relating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Significant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April 20, 2023 under the symbol “UCAR.”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April 20, 2023 under the symbol “UCAR.”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Expenses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Consolidation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the Company held an extraordinary general meeting of shareholders, at which the Company’s shareholders adopted an ordinary resolution to effect a 1-for-100 share consolidation on all issued and unissued share capital, effective on March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Share Capital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AGM of the Company was held on August 13, 2024. At the AGM, the shareholders of the Company adopted the following resolutions with respect to the variation of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4"/>
        <w:gridCol w:w="9886"/>
      </w:tblGrid>
      <w:tr>
        <w:trPr/>
        <w:tc>
          <w:tcPr>
            <w:tcW w:w="10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all of the issued shares of a par value of US$0.00001 each (the “Shares”) in the capital of the Company (other than the 71,250 ordinary shares held by U Create Limited, the 157,859 ordinary shares held by U Trend Limited, the 149,435 ordinary shares held by Upincar Limited and the 209,644 ordinary shares held by FLA) into Class A ordinary shares of US$0.00001 each, with each Class A ordinary share of US$0.00001 each entitled to one vote;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4"/>
        <w:gridCol w:w="9866"/>
      </w:tblGrid>
      <w:tr>
        <w:trPr/>
        <w:tc>
          <w:tcPr>
            <w:tcW w:w="10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the 71,250 ordinary shares held by U Create Limited, the 157,859 ordinary shares held by U Trend Limited, the 149,435 ordinary shares held by Upincar Limited and the 209,644 ordinary shares held by FLA into Class B ordinary shares of US$0.00001 each, with each Class B ordinary share of US$0.00001 each entitled to 20 votes;</w:t>
            </w:r>
          </w:p>
        </w:tc>
      </w:tr>
    </w:tbl>
    <w:p>
      <w:pPr>
        <w:pStyle w:val="TextBody"/>
        <w:bidi w:val="0"/>
        <w:spacing w:before="0" w:after="0"/>
        <w:ind w:left="0" w:right="0" w:hanging="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05"/>
        <w:gridCol w:w="260"/>
        <w:gridCol w:w="923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3,996,621,812 authorized but unissued Shares as Class A ordinary shares of US$0.00001 each; and</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75"/>
        <w:gridCol w:w="887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1,000,000,000 authorized but unissued Shares as Class B ordinary shares of US$0.00001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AGM, and as a result thereof,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Voting Power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general meeting held on December 5, 2025, shareholders approved three resolutions (i) authorizing the increasing of the voting power of the Class B ordinary shares from 20 votes per share to 100 votes per share; (ii) adopting a third amended and restated memorandum and articles of association; and (iii) authorizing the following conditional share consolidations: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4"/>
        <w:gridCol w:w="9823"/>
      </w:tblGrid>
      <w:tr>
        <w:trPr/>
        <w:tc>
          <w:tcPr>
            <w:tcW w:w="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(A)</w:t>
            </w:r>
          </w:p>
        </w:tc>
        <w:tc>
          <w:tcPr>
            <w:tcW w:w="9823" w:type="dxa"/>
            <w:tcBorders/>
            <w:vAlign w:val="center"/>
          </w:tcPr>
          <w:p>
            <w:pPr>
              <w:pStyle w:val="TableContents"/>
              <w:bidi w:val="0"/>
              <w:spacing w:before="0" w:after="283"/>
              <w:jc w:val="both"/>
              <w:rPr/>
            </w:pPr>
            <w:r>
              <w:rPr/>
              <w:t>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9"/>
        <w:gridCol w:w="9838"/>
      </w:tblGrid>
      <w:tr>
        <w:trPr/>
        <w:tc>
          <w:tcPr>
            <w:tcW w:w="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(B)</w:t>
            </w:r>
          </w:p>
        </w:tc>
        <w:tc>
          <w:tcPr>
            <w:tcW w:w="9838" w:type="dxa"/>
            <w:tcBorders/>
            <w:vAlign w:val="center"/>
          </w:tcPr>
          <w:p>
            <w:pPr>
              <w:pStyle w:val="TableContents"/>
              <w:bidi w:val="0"/>
              <w:spacing w:before="0" w:after="283"/>
              <w:jc w:val="both"/>
              <w:rPr/>
            </w:pPr>
            <w:r>
              <w:rPr/>
              <w:t>subsequently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7"/>
        <w:gridCol w:w="9840"/>
      </w:tblGrid>
      <w:tr>
        <w:trPr/>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(C)</w:t>
            </w:r>
          </w:p>
        </w:tc>
        <w:tc>
          <w:tcPr>
            <w:tcW w:w="9840" w:type="dxa"/>
            <w:tcBorders/>
            <w:vAlign w:val="center"/>
          </w:tcPr>
          <w:p>
            <w:pPr>
              <w:pStyle w:val="TableContents"/>
              <w:bidi w:val="0"/>
              <w:spacing w:before="0" w:after="283"/>
              <w:jc w:val="both"/>
              <w:rPr/>
            </w:pPr>
            <w:r>
              <w:rPr/>
              <w:t>subsequently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8"/>
        <w:gridCol w:w="9799"/>
      </w:tblGrid>
      <w:tr>
        <w:trPr/>
        <w:tc>
          <w:tcPr>
            <w:tcW w:w="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7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fractional shares (after aggregating all fractional shares that would otherwise be received by a shareholder) resulting from each of the Share Consolidations shall be rounded up to the whole number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Share Consolidation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announced on a report on Form 6-K plans to effectuate a consolidation of all of the Company’s authorized issued and unissued ordinary shares on a 10:1 basis to take effect at the commencement of trading on April 1, 2026. As a result, each 10 ordinary shares of a par value of US$0.00001 each would be consolidated into 1 (one) ordinary share of a par value of US$0.0001 each, and upon such share consolidation, the authorized share capital of the Company became US$50,000 divided into 399,941,181.2 Class A ordinary shares of a par value of US$0.0001 each, and 100,058,818.8 Class B ordinary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Third Amended and Restated Memorandum and Articles of Association (the “Memorandum and Articles”), the Companies Act (As Revised) of the Cayman Islands, the common law of the Cayman Islands, our corporate governance documents and rules and regulations of the stock exchange on which are shares are traded. The Memorandum and Articles of the Company is filed herein as Exhibit 1.1 to this annual report and is hereby incorporated by reference into this annual report. You may refer to Exhibit 2.3 for a detailed disclosure of description of our securities registered under Section 12 of the Exchange Act of 1934, as amended, of the Memorandum and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authorized share capital of the Company is US$50,000 divided into 399,941,181.2 Class A Ordinary Shares of a par value of US$0.0001 each, and 100,058,818.8 Class B Ordinary Shares of a par value of US$0.0001 each. As of the date of this annual report, 23,144,871 Class A Ordinary Shares and 36,805 Class B Ordinary Shares are issued and outstanding. All of our issued and outstanding ordinary shares are fully paid.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 — B. Business Overview — Regulations — Regulations on Foreign Currency Exchange.”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or holders of our Class A Ordinary Shares levied by the government of the Cayman Islands except for stamp duties which may be applicable on instruments executed in, or after execution brought within, the jurisdiction of the Cayman Islands. 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and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2007, the National People’s Congress of China enacted the Enterprise Income Tax Law, or EIT Law, which became effective on January 1, 2008 (as amended in December 2018). The EIT Law provides that enterprises organized under the laws of jurisdictions outside China with their “de facto management bodies” located within China may be considered PRC resident enterprises and therefore subject to EIT at the rate of 25% on their worldwide income. The Implementing Regulations for the Corporate Income Tax Law of the People’s Republic of China (Revised in 2024) further defines the term “de facto management body” as the management body that exercises substantial and overall management and control over the business, personnel, accounts and properties of an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2009, the SAT issued the Notice Regarding the Determination of Chinese-Controlled Overseas Incorporated Enterprises as PRC Tax Resident Enterprises on the Basis of De Facto Management Bodies, known as Circular 82, which provides certain specific criteria for determining whether the “de facto management body” of a PRC-controlled enterprise that is incorporated offshore is deemed to be located in China. Although Circular 82 only applies to offshore enterprises controlled by PRC enterprises or PRC enterprise groups, not offshore enterprises controlled by PRC individuals or foreigners, the criteria set forth in the circular may reflect the SAT’s general position on how the “de facto management body” test should be applied in determining the tax resident status of all offshore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Notice 82, a Chinese-controlled offshore incorporated enterprise will be regarded as a PRC tax resident by virtue of having a “de facto management body” in China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China; (ii) financial decisions (such as money borrowing, lending, financing and financial risk management) and personnel decisions (such as appointment, dismissal and salary and wages) are decided or need to be decided by organizations or persons located within the territory of China; (iii) main property, accounting books, corporate seal, the board of directors and files of the minutes of shareholders’ meetings of the enterprise are located or preserved within the territory of China; and (iv) one half (or more) of the directors or senior management staff having the right to vote habitually reside within the territory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Enterprise Income Tax of Chinese-Controlled Overseas Incorporated Resident Enterprises (Trial Version), or Bulletin 45, further clarifies certain issues related to the determination of tax resident status. Bulletin 45 also specifies that when provided with a resident Chinese-controlled, offshore-incorporated enterprise’s copy of its recognition of residential status, a payer does not need to withhold a 10% income tax when paying certain PRC-source income, such as dividends, interest and royalties to such Chinese-controlled offshore-incorporated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Cayman Islands holding company, Upincar, is not a PRC resident enterprise for PRC tax purposes. Upincar is a company incorporated outside China. As a holding company, its key assets are its ownership interests in its subsidiaries, and its key assets are located, and its records (including the resolutions of its board of directors and the resolutions of its shareholders) are maintained, outside China. As such, we do not believe that our company meets all of the conditions above or is a PRC resident enterprise for PRC tax purposes. For the same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and there is a risk that the PRC tax authorities may deem our company as a PRC resident enterprise since a substantial majority of the members of our management team are located in China, in which case we would be subject to the EIT at the rate of 25% on worldwide income. If the PRC tax authorities determine that the Cayman Islands holding company is a “resident enterprise” for EIT purposes, a number of unfavorable PRC tax consequences could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example is a 10% withholding tax would be imposed on dividends we pay to our non-PRC enterprise shareholders and with respect to gains derived by our non-PRC enterprise shareholders from transferring our Class A Ordinary Shares. It is unclear whether, if we are considered a PRC resident enterprise, holders of our Class A Ordinary Shares would be able to claim the benefit of income tax treaties or agreements entered into between China and other countries or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Announcement of SAT on Several Issues Concerning the Enterprise Income Tax on Indirect Property Transfer by Non-Resident Enterprises, or Circular 7, which was promulgated by the SAT and became effective on February 3, 2015, if a non-resident enterprise transfers the equity interests of a PRC resident enterprise indirectly by transfer of the equity interests of an offshore holding company (other than a purchase and sale of shares issued by a PRC resident enterprise in the public securities market) without a reasonable commercial purpose, PRC tax authorities have the power to reassess the nature of the transaction and the indirect equity transfer may be treated as a direct transfer. As a result, the gain derived from such transfer, which means the equity transfer price less the cost of equity, will be subject to PRC withholding tax at a rate of up to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Circular 7, a transfer which meets all of the following circumstances shall be directly deemed as having no reasonable commercial purposes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 75% of the value of the equity interests of the offshore holding company are directly or indirectly derived from PRC taxable properties;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time during the year before the indirect transfer, over 90% of the total properties of the offshore holding company are investments within PRC territories, or in the year before the indirect transfer, over 90% of the offshore holding company’s revenue is directly or indirectly derived from PRC territories;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function performed and risks assumed by the offshore holding company are insufficient to substantiate its corporate existence;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foreign income tax imposed on the indirect transfer is lower than the PRC tax imposed on the direct transfer of the PRC taxable 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issued the Announcement on Issues Relating to Withholding at Source of Income Tax of Non-resident Enterprises, or Circular 37, which took effect on December 1, 2017. Circular 37 purports to provide further clarifications by setting forth the definitions of equity transfer income and tax basis, the foreign exchange rate to be used in the calculation of the withholding amount and the date on which the withholding obligation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Circular 37 provides that where the transfer income subject to withholding at source is derived by a non-PRC resident enterprise in instalments, the instalments may first be treated as recovery of costs of previous investments. Upon recovery of all costs, the tax amount to be withheld must then be computed and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the application of Circular 7 and Circular 37. Circular 7 and Circular 37 may be determined by the PRC tax authorities to be applicable to transfers of our shares that involve non-resident investors, if any of such transactions were determined by the tax authorities to lack a reasonable commercial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and our non-resident investors in such transactions may become at risk of being taxed under Circular 7 and Circular 37, and we may be required to comply with Circular 7 and Circular 37 or to establish that we should not be taxed under the general anti-avoidance rule of the EIT Law. This process may be costly and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Circular on Comprehensively Promoting the Pilot Program of the Collection of Value-added Tax to Replace Business Tax, or Circular 36, which was promulgated by the Ministry of Finance and the SAT on March 23, 2016 and became effective on May 1, 2016, entities and individuals engaging in the sale of services, intangible assets or fixed assets within the territory of the PRC are required to pay value added tax, or VAT, instead of business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36, our PRC subsidiaries and consolidated affiliated entities are subject to VAT, at a rate of 6% to 17% on proceeds received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of the Ministry of Finance and the SAT on Adjusting Value-added Tax Rates, where a taxpayer engages in a taxable sales activity for the value-added tax purpose or imports goods, the previous applicable 17% tax rates are lowered to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on Policies to Deepen Value-added Tax Reform, where a taxpayer engages in a taxable sales activity for the value-added tax purpose or imports goods, the previous applicable 16% and 10% tax rates are lowered to 13% and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material U.S. federal income tax consequences related to the ownership and disposition of our Class A Ordinary Shares. This description does not deal with all possible tax consequences relating to ownership and disposition of our Class A Ordinary Shares or U.S. tax laws, other than the U.S. federal income tax laws, such as the tax consequences under non-U.S. tax laws,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(defined below) that hold Class A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Class A Ordinary Shares and you are,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for U.S. federal income tax purposes) organized under the laws of the United States, any state thereof or the District of Columbia;</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subject to U.S. federal income taxation regardless of its source; or</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entities treated as a partnership for United States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considered a resident of the U.S. for federal income tax purposes if he or she meets either the “Green Card Test” or the “Substantial Presence Test”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Card Test: You are a lawful permanent resident of the United States, at any time, if you have been given the privilege, according to the immigration laws of the United States, of residing permanently in the United States as an immigrant. You generally have this status if the U.S. Citizenship and Immigration Services issued you an alien registration card, Form I-551, also known as a “green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Presence Test: If an alien is present in the United States on at least 31 days of the current calendar year, he or she will (absent an applicable exception) be classified as a resident alien if the sum of the following equals 183 days or more (</w:t>
      </w:r>
      <w:r>
        <w:rPr>
          <w:rFonts w:ascii="Times New Roman;Times;Serif" w:hAnsi="Times New Roman;Times;Serif"/>
          <w:b w:val="false"/>
          <w:i/>
          <w:caps w:val="false"/>
          <w:smallCaps w:val="false"/>
          <w:sz w:val="20"/>
        </w:rPr>
        <w:t>See </w:t>
      </w:r>
      <w:r>
        <w:rPr>
          <w:rFonts w:ascii="Times New Roman;Times;Serif" w:hAnsi="Times New Roman;Times;Serif"/>
          <w:b w:val="false"/>
          <w:i w:val="false"/>
          <w:caps w:val="false"/>
          <w:smallCaps w:val="false"/>
          <w:sz w:val="20"/>
        </w:rPr>
        <w:t>§7701(b)(3)(A) of the Internal Revenue Code and related Treasury Regulations):</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05"/>
        <w:gridCol w:w="200"/>
        <w:gridCol w:w="4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days in the United States in the current year; plus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05"/>
        <w:gridCol w:w="200"/>
        <w:gridCol w:w="7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One-third of his or her days in the United States in the immediately preceding year; plus</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05"/>
        <w:gridCol w:w="200"/>
        <w:gridCol w:w="6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One-sixth of his or her days in the United States in the second preceding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applying applicable look-through rules,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not reflected on its balance sheet are taken into account. Passive income generally includes, among other things, dividends, interest, income equivalent to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including the proceeds we received from our initial public offering and the value of our Class A Ordinary Shares, we do not expect to be a PFIC for the current taxable year or the foreseeable future. However, no assurance can be given in this regard because the determination of whether we are or will become a PFIC for any taxable year is a factual determination made annually that will depend, in part, upon the composition and classification of our income and assets. Furthermore, fluctuations in the market price of our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Class A Ordinary Shares from time to time (which may be volatile). In addition, the composition of our income and assets may also be affected by how, and how quickly, we use our liquid assets and the cash raised in our initial public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our Class A Ordinary Shares, we generally will continue to be treated as a PFIC for all succeeding years during which such U.S. Holder holds our Class A Ordinary Shares, unless we were to cease to be a PFIC and the U.S. Holder were to make a “deemed sale” election with respect to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not income tax treaty between the United States and the Cayman Islands,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are listed on certain exchanges, which presently include the NYSE and the Nasdaq Stock Market. You are urged to consult your tax advisors regarding the availability of the lower rate for dividends paid with respect to our Class A Ordinary Shares, including the effects of any change in law after the date of this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not intend to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rules discussed above,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reporting and short-swing profit recovery provisions contained in Section 16 of the Exchange Act. Nevertheless, our directors and officers are required to file Section 16(a) reports (Forms 3, 4, and 5) with the SEC to report beneficial ownership interests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listing of our subsidiaries, see “Item 3. Key Information — 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accounts receivable. As of December 31, 2025, 2024 and 2023, our cash and cash equivalents amounted to RMB22.0 million (US$3.1 million), RMB23.4 million (US$3.2million) and RMB1.9 million (US$0.3million), respectively. We place our cash and cash equivalents and restricted cash with financial institutions with high credit ratings and quality. Historically, deposits in Chinese banks are secure, due to the state policy on protecting depositors’ interests. In the event of bankruptcy of one of these financial institutions, we may not be able to claim our cash and demand deposits back in full. We continue to monitor the financial strength of the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credit evaluations of customers, and generally do not require collateral or other security from our customers. We establish an allowance for doubtful accounts primarily based upon the age of the receivables and factors surrounding the credit risk of specific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regularly monitor our liquidity requirements and our compliance with lending covenants, to ensure that we maintain sufficient reserves of cash and readily realizable marketable securities and adequate committed lines of funding from major financial institutions to meet its liquidity requirements in the short and longer term. See “Item 5. Operating and Financial Review and Prospects — B. Liquidity and Capital Resources”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inflation in China has not materially affected our results of operations. According to the National Bureau of Statistics of China, the year-over-year percent changes in the consumer price index for December 2025, 2024 and 2023 were increases of 0.8%, 0.2% and -0.3%, respectively. Although we have not been materially affected by inflation in the past, we may be affected if China experiences higher rates of inflation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we closed our initial public offering, pursuant to a registration statement on Form F-1, as amended (File Number 333-268949), which was declared effective by the SEC on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raised net proceeds of approximately $13.4 million, after deducting underwriting discounts and the offering expenses payable by us. We incurred approximately $1.5 million, which included approximately $1.0 million in underwriting discounts and approximately $0.5 million in other expenses. None of the transaction expenses included payments to directors or officers of our company or their associates, or any persons owning more than 10% or more of our equity securities or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used all the proceeds as follows: (i) We paid $2 million to Liberty Asset Management Capital Limited (“Liberty”), pursuant to a “Service Agreement” dated March 31, 2023, for a term of two years, during which time Liberty provided business planning and strategic advisory services to the Company. (ii) We paid $6 million to RICHNESS FORTUNE CREDIT(HK) COMPANY LIMITED (“Richness”), pursuant to a “Consulting Agreement” dated April 18, 2023, according to which Consulting Agreement, Richness provided intermediatory services to assist the Company allocating and completing an acquisition of a suitable target company. The fee includes a $0.5 million intermediary fee and $5.5 million purchase price to be paid to any target companies. The Consulting Agreement is valid until December 31, 2028, and if Richness does not complete its contractual obligations, the full amount (including intermediary fees) shall be returned to us, plus a 5% interest. (iii)We paid $5 million to Worthy Credit Limited (“Worthy”), pursuant to an “Entrust Agreement” dated March 31, 2023. Worthy is a registered financing company with a financial license in Hong Kong. According to the Entrust Agreement, we entrust Worthy to provide loan services to our customers in Hong Kong. The term of Entrust Agreement is tentatively agreed to end on June 30, 2028, at which time Worthy shall return the original capital with interest to us. The remaining net proceeds of our initial public offering has been applied to day-to-day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2023 Follow-on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we closed a registered follow-on offering pursuant to registration statement on Form F-1, as amended (File Number 333-275654). We raised net proceeds of approximately $10.6 million,  after deducting offering expenses. We incurred approximately $1.36 million in expenses in connection with our follow-on offering, which included approximately $0.84 million in placement agent fee and approximately $0.52 million in other expenses. None of the transaction expenses included payments to directors or officers of our company or their associates, or any persons owning more than 10% or more of our equity securities or our affiliates. None of the net proceeds we received from the offering were paid, directly or indirectly, to any of our directors or officers or their associates, or any persons owning 10% or more of our equity securities or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all the proceeds have been used as the follows: (1) $5 million was transferred to Energy U for its business operations, (ii) we entered into an escrow agreement with an escrow agent in connection with the offering and deposited $3 million from the proceeds of the offering in an escrow account Subsequently, the Company paid approximately $2.21 million from the escrow account to the investors of the offering pursuant to the terms and conditions of the escrow agreement, and (3) the remaining proceeds were used for the Company’s day-to-day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2024 Follow-on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closed a registered follow-on offering pursuant to registration statement on Form F-3, as amended (File Number 333-282901). We raised net proceeds of approximately $4.455 million,  after deducting offering expenses. None of the transaction expenses included payments to directors or officers of our Company or their associates, or any persons owning more than 10% or more of our equity securities or our affiliates. None of the net proceeds we received from the offering were paid, directly or indirectly, to any of our directors or officers or their associates, or any persons owning 10% or more of our equity securities or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2025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entered into a securities purchase agreement with certain institutional investors named thereto, pursuant to which the Company agreed to issue and sell, in a registered direct offering (the “January 2025 Registered Direct Offering”): (i) 648,000 Class A ordinary shares of the Company, par value $0.00001 per share; and (ii) pre-funded warrants to purchase up to 393,668 Class A ordinary shares, par value $0.00001 per share (the “January 24, 2025 Pre-Funded Warrants”). The purchasers also received unregistered common warrants to purchase up to 1,562,502 Class A ordinary shares, par value $0.00001 per share (the “January 24, 2025 Common Warrants”), in a concurrent private placement. The purchase price for each Class A ordinary share, par value $0.00001 per share, and accompanying January 24, 2025 Common Warrant was $4.80 and the purchase price for each January 24, 2025 Pre-Funded Warrant and accompanying January 24, 2025 Common Warrant was $4.7999.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Registered Direct Offering closed on January 27, 2025. The Company received approximately $5,000,000 in gross proceeds from the January 2025 Registered Direct Offering, before deducting placement agent fees and estimated offering expenses. None of the transaction expenses included payments to directors or officers of our company or their associates, or any persons owning more than 10% or more of our equity securities or our affiliates. None of the net proceeds we received from the offering were paid, directly or indirectly, to any of our directors or officers or their associates, or any persons owning 10% or more of our equity securities or our affiliates. The Company used the net proceeds from the January 2025 Registered Direct Offering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July 2025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we entered into a securities purchase agreement with a certain institutional investor signatory thereto, pursuant to which the Company agreed to issue and sell to the investor in a registered direct offering (the “July 2025 Registered Direct Offering”): (i) 445,000 Class A ordinary shares of the Company, par value $0.00001 per share; and (ii) pre-funded warrants to purchase up to 106,628 Class A ordinary shares of the Company, par value $0.00001 per share (the “July 24, 2025 Pre-Funded Warrants”). The purchaser also received unregistered common warrants to purchase up to 551,628 Class A ordinary shares of the Company, par value $0.00001 per share (the “July 24, 2025 Common Warrants”) in a concurrent private placement. The purchase price for each Class A ordinary share of the Company, par value $0.00001 per share, and accompanying July 24, 2025 Common Warrant was $2.50 and the purchase price for each July 24, 2025 Pre-Funded Warrant and accompanying July 24, 2025 Common Warrant was $2.499.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Registered Direct Offering and concurrent private placement closed on July 25, 2025. The Company received $140,000 in gross proceeds from the July 2025 Registered Direct Offering and concurrent private placement, before deducting placement agent fees and estimated offering expenses. The Company used the net proceeds from the July 2025 Registered Direct Offering and concurrent private placement for market expansion efforts and business development,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Class A ordinary shares in the July 2025 Registered Direct Offering were approximately $1.08 million, after deducting the placement agent fees and offering expenses payable by us in connection with the July 2025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transaction expenses included payments to directors or officers of our company or their associates, or any persons owning more than 10% or more of our equity securities or our affiliates. None of the net proceeds we received from the offering were paid, directly or indirectly, to any of our directors or officers or their associates, or any persons owning 10% or more of our equity securities or our affiliates. As of the date of this annual report, we used the net proceeds of the July 2025 Registered Direct Offering and the concurrent private placement for (i) market expansion efforts and business development; and (ii) working capital and other general corporate purposes.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March 2026 Follow on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we closed an underwritten follow-on offering (the “March 2026 Offering”) of 13,360,000 Units, with each Unit consisting of (i) one Class A ordinary share, par value $0.00001 per share, and (ii) one Class A Warrant to purchase one Class A ordinary share, par value $0.00001 per share, at a public offering price of $0.449 per Unit, for aggregate gross proceeds to the Company of approximately $6 million, before deducting underwriting discounts and offering expenses paid by the Company. The Company also granted the underwriter an over-allotment option exercisable for up to forty-five (45) days after the date of the March 2026 Offering, which permitted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Warrants have a one-year term, were immediately exercisable after issuance, and had an initial exercise price of $0.449 per Class A ordinary share, par value $0.00001 per share. On the 2nd and 5th trading day following the closing of the March 2026 Offering, the exercise price of the Class A Warrants was reduced to 70% and 50% of the initial exercise price, or $0.3143 and $0.2245 per Class A ordinary share, par value $0.00001 per share, respectively. Upon each adjustment to the exercise price for the Class A Warrants, the number of issuable shares underlying the Class A Warrants was proportionally increased so that the aggregate exercise price of the Class A Warrants remained the same. The Class A Warrants also provide for a zero exercise price option, in which the holder will receive two (2) Class A ordinary shares, par value $0.00001 per share, that would be issuable upon a cash exercise of the Class A Warrant, without payment of additional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March 2026 Offering were approximately $5.23 million, after deducting underwriting discounts and commissions and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used the net proceeds of the March 2026 Offering as follows:(i) US$2,517,000 were applied to repay the outstanding principal balance due on the 2025 Senior Secured Promissory Notes, together with an 18% per annum late charge (which accrued as of their maturity on March 1, 2026), and which notes were non-interest bearing; and (ii) $2.71 million  will be used for working capital and other general corporate purposes. None of the transaction expenses included payments to directors or officers of our company or their associates, or any persons owning more than 10% or more of our equity securities or our affiliates. None of the net proceeds we received from the offering were paid, directly or indirectly, to any of our directors or officers or their associates, or any persons owning 10% or more of our equity securities or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7, 2026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entered into subscription agreements with seven investors. Pursuant to the subscription agreements, and in reliance on Regulation S, such investors agreed to subscribe for and purchase from the Company, and the Company agreed to issue and sell to such investors, an aggregate of 2,900,000 Class A Ordinary Shares at a purchase price of $1.10 per share, for an aggregate purchase price of $3,190,000 (the “April 7, 2026 Offering”). The investors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the subscription agreements and the transactions contemplated thereby were approved by the Company’s board of directors on April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transaction expenses incurred in connection with the April 7, 2026 Offering included payments to directors or officers of our company or their associates, or any persons owning more than 10% or more of our equity securities or our affiliates. None of the net proceeds we received from the April 7, 2026 Offering were paid, directly or indirectly, to any of our directors or officers or their associates, or any persons owning 10% or more of our equity securities or our affiliates. As of the date of this annual report, we intend to use the net proceeds of the April 7, 2026 Offering for (i) market expansion efforts and business development; and (ii)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certain subscription agreements with ten purchasers. Pursuant to the subscription agreements, and in reliance on Regulation S, the purchasers agreed to subscribe for and purchase from the Company, and the Company agreed to issue and sell to such purchasers, an aggregate of 15,670,737 Class A Ordinary Shares at a purchase price of $1.64 per share, for an aggregate purchase price of $25.7 million (the “April 27, 2026 Offering”). Each of the purchasers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the subscription agreements and the transactions contemplated thereby were approved by the Company’s board of directors on 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transaction expenses incurred in respect of the April 27, 2026 Offering included payments to directors or officers of our company or their associates, or any persons owning more than 10% or more of our equity securities or our affiliates. None of the net proceeds we received from the April 27, 2026 Offering were paid, directly or indirectly, to any of our directors or officers or their associates, or any persons owning 10% or more of our equity securities or our affiliates. As of the date of this annual report, we intend to use the net proceeds of the April 27, 2026 Offering for (i) market expansion efforts and business development; and (ii)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management has concluded that, due to the material weaknesses and significant deficiencies identified below, as of December 31, 2025,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 The material weaknesses identified included (i) a lack of sufficient skilled staff with U.S. GAAP knowledge and the SEC reporting knowledge for the purpose of financial reporting as well as a lack of formal accounting policies and procedures manual to ensure proper financial reporting in accordance with U.S. GAAP and SEC reporting requirements; (ii) a lack of formal policies and procedures to establish risk assessment process and internal control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our consolidated financial statements for the year ended December 31, 2025, our management identified several control deficiencies, which include material weaknesses. The material weakness identified relates to our lack of sufficient skilled staff with U.S. GAAP knowledge and the SEC reporting knowledge for the purpose of financial reporting as well as the lack in formal accounting policies and procedures manual to ensure proper financial reporting in accordance with U.S. GAAP and SEC reporting requirements. We have already taken the following steps to implement measures to remediate the material weakness we have identified: (1) streamlining our accounting department structure and enhancing our staff’s U.S. GAAP expertise on a continuous basis; and (2) making an overall assessment on the current finance and accounting resources and planning to hire new finance team members with pertinent qualifications, in order to strengthen our U.S. GAAP reporting framework. We plan to take additional measures to improve the effectiveness of our internal control and financial reporting, including: (1) hiring a new reporting manager who has expertise in U.S. GAAP to improve the quality of U.S. GAAP reports; (2) participating in training and seminars provided by professional service firms on a regular basis to gain knowledge on regular accounting/SEC reporting updates; and (3) providing internal training to our current accounting team on U.S. GAAP practices. We are also in the process of completing a systematic accounting manual for U.S. GAAP and financial closing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Xiaochun Li qualifies as an “audit committee financial expert” as defined in Item 16A of Form 20-F. Ms. Xiaochun Li satisfies the “independence” requirements of Section 5605(a)(2) of the NASDAQ Listing Rules as well as the independence requirements of Rule 10A-3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 w:name="a_023"/>
      <w:bookmarkEnd w:id="24"/>
      <w:r>
        <w:rPr>
          <w:rFonts w:ascii="Times New Roman;Times;Serif" w:hAnsi="Times New Roman;Times;Serif"/>
          <w:b w:val="false"/>
          <w:i w:val="false"/>
          <w:caps w:val="false"/>
          <w:smallCaps w:val="false"/>
          <w:sz w:val="20"/>
        </w:rPr>
        <w:t>I</w:t>
      </w:r>
      <w:r>
        <w:rPr>
          <w:rFonts w:ascii="Times New Roman;Times;Serif" w:hAnsi="Times New Roman;Times;Serif"/>
          <w:b/>
          <w:i w:val="false"/>
          <w:caps w:val="false"/>
          <w:smallCaps w:val="false"/>
          <w:sz w:val="20"/>
        </w:rPr>
        <w:t>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Our code of business conduct and ethics is publicly available on our website: https://ir.upincar.com/corporate.html.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2025, HCL was appointed as the Company’s auditor for the audited Consolidated Financial Statements that appear in this annual report. For the fiscal years 2023 and 2024, Onestop Assurance PAC was appointed as the Company’s auditor for the audited Consolidated Financial Statements that appear in this annual report. Set forth below are the total fees billed (or expected to be billed), on a consolidated basis, by HCL, HHL and Onestop Assurance PAC, and their respective affiliates for providing audit and other professional services in each of the last three years:</w:t>
      </w:r>
    </w:p>
    <w:p>
      <w:pPr>
        <w:pStyle w:val="TextBody"/>
        <w:bidi w:val="0"/>
        <w:spacing w:before="0" w:after="0"/>
        <w:ind w:left="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215"/>
        <w:gridCol w:w="90"/>
        <w:gridCol w:w="184"/>
        <w:gridCol w:w="901"/>
        <w:gridCol w:w="97"/>
        <w:gridCol w:w="97"/>
        <w:gridCol w:w="184"/>
        <w:gridCol w:w="901"/>
        <w:gridCol w:w="97"/>
        <w:gridCol w:w="97"/>
        <w:gridCol w:w="184"/>
        <w:gridCol w:w="901"/>
        <w:gridCol w:w="135"/>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4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sz w:val="20"/>
              </w:rPr>
            </w:pPr>
            <w:r>
              <w:rPr>
                <w:sz w:val="20"/>
              </w:rPr>
              <w:t>Audit fees</w:t>
            </w:r>
            <w:r>
              <w:rPr>
                <w:position w:val="7"/>
                <w:sz w:val="16"/>
                <w:sz w:val="20"/>
              </w:rPr>
              <w:t>(1)</w:t>
            </w:r>
            <w:r>
              <w:rPr>
                <w:sz w:val="20"/>
              </w:rPr>
              <w:t xml:space="preserve"> - Onestop Assurance PAC</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200,000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187,000</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20"/>
              </w:rPr>
            </w:pPr>
            <w:r>
              <w:rPr>
                <w:sz w:val="20"/>
              </w:rPr>
              <w:t>Audit fees</w:t>
            </w:r>
            <w:r>
              <w:rPr>
                <w:position w:val="7"/>
                <w:sz w:val="16"/>
                <w:sz w:val="20"/>
              </w:rPr>
              <w:t>(1)</w:t>
            </w:r>
            <w:r>
              <w:rPr>
                <w:sz w:val="20"/>
              </w:rPr>
              <w:t xml:space="preserve"> – HCL PLLC</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120,000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sz w:val="20"/>
              </w:rPr>
            </w:pPr>
            <w:r>
              <w:rPr>
                <w:sz w:val="20"/>
              </w:rPr>
              <w:t>Audit fees</w:t>
            </w:r>
            <w:r>
              <w:rPr>
                <w:position w:val="7"/>
                <w:sz w:val="16"/>
                <w:sz w:val="20"/>
              </w:rPr>
              <w:t>(1)</w:t>
            </w:r>
            <w:r>
              <w:rPr>
                <w:sz w:val="20"/>
              </w:rPr>
              <w:t xml:space="preserve"> - HHL</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01" w:type="dxa"/>
            <w:tcBorders>
              <w:bottom w:val="double" w:sz="10" w:space="0" w:color="000000"/>
            </w:tcBorders>
            <w:tcMar>
              <w:bottom w:w="28" w:type="dxa"/>
            </w:tcMar>
            <w:vAlign w:val="center"/>
          </w:tcPr>
          <w:p>
            <w:pPr>
              <w:pStyle w:val="TableContents"/>
              <w:bidi w:val="0"/>
              <w:spacing w:before="0" w:after="283"/>
              <w:jc w:val="right"/>
              <w:rPr>
                <w:b/>
              </w:rPr>
            </w:pPr>
            <w:r>
              <w:rPr>
                <w:b/>
              </w:rPr>
              <w:t>120,000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01" w:type="dxa"/>
            <w:tcBorders>
              <w:bottom w:val="double" w:sz="10" w:space="0" w:color="000000"/>
            </w:tcBorders>
            <w:tcMar>
              <w:bottom w:w="28" w:type="dxa"/>
            </w:tcMar>
            <w:vAlign w:val="center"/>
          </w:tcPr>
          <w:p>
            <w:pPr>
              <w:pStyle w:val="TableContents"/>
              <w:bidi w:val="0"/>
              <w:spacing w:before="0" w:after="283"/>
              <w:jc w:val="right"/>
              <w:rPr>
                <w:b/>
              </w:rPr>
            </w:pPr>
            <w:r>
              <w:rPr>
                <w:b/>
              </w:rPr>
              <w:t>200,000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01" w:type="dxa"/>
            <w:tcBorders>
              <w:bottom w:val="double" w:sz="10" w:space="0" w:color="000000"/>
            </w:tcBorders>
            <w:tcMar>
              <w:bottom w:w="28" w:type="dxa"/>
            </w:tcMar>
            <w:vAlign w:val="center"/>
          </w:tcPr>
          <w:p>
            <w:pPr>
              <w:pStyle w:val="TableContents"/>
              <w:bidi w:val="0"/>
              <w:spacing w:before="0" w:after="283"/>
              <w:jc w:val="right"/>
              <w:rPr>
                <w:b/>
              </w:rPr>
            </w:pPr>
            <w:r>
              <w:rPr>
                <w:b/>
              </w:rPr>
              <w:t>187,000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(1)</w:t>
            </w:r>
          </w:p>
        </w:tc>
        <w:tc>
          <w:tcPr>
            <w:tcW w:w="9900" w:type="dxa"/>
            <w:tcBorders/>
            <w:vAlign w:val="center"/>
          </w:tcPr>
          <w:p>
            <w:pPr>
              <w:pStyle w:val="TableContents"/>
              <w:bidi w:val="0"/>
              <w:spacing w:before="0" w:after="283"/>
              <w:jc w:val="both"/>
              <w:rPr>
                <w:sz w:val="20"/>
              </w:rPr>
            </w:pPr>
            <w:r>
              <w:rPr>
                <w:sz w:val="20"/>
              </w:rPr>
              <w:t>Audit fees include the aggregate fees billed for each of the fiscal years for professional services rendered by our independent registered public accounting firm for the audit of our annual financial statements and review of the interim financial statements in connection with our initial public offering in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independent registered public accounting firm, including audit services, audit-related services, tax services, and other services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Certifying Accountant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we engaged HCL as our independent registered public accounting firm, and dismissed HHL. The change of our independent registered public accounting firm had been approved by our board and the audit committee of our board, and the decision was not made due to any disagreements between us and HHL. The termination of the engagement with HHL became effective as of January 13, 2026, and the engagement of HHL as the independent auditor of the Company became effective as of January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Company’s change of auditor are described on a report on Form 6-K filed with the SEC on January 27, 2026,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Certifying Accountant in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we engaged HHL as our independent registered public accounting firm, and dismissed Onestop. The change of our independent registered public accounting firm had been approved by our board and the audit committee of our board, and the decision was not made due to any disagreements between us and Onestop. The termination of the engagement with Onestop became effective as of July 24, 2025, and the engagement of HHL as the independent auditor of the Company became effective as of July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Company’s change of auditor are described on a report on Form 6-K filed with the SEC on July 31, 2025,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Certifying Accountant in May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2023, the “Company appointed Onestop as its independent registered public accounting firm, effective on the same day. Onestop replaces WWC, P.C., the former independent registered public accounting firm, which the Company dismissed on May 10, 2023. The appointment of Onestop was made after a careful consideration and evaluation process undertaken by the Company and was approved by the audit committee of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Company’s change of auditor are described on a report on Form 6-K filed with the SEC on June 8, 2023,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The Board of Directors of the Company elected to follow the Company’s home country rules in lieu of NASDAQ Listing Rule 5635. We, therefore, are not required to obtain such shareholder approval prior to entering into a transaction with the potential to issue securities as described above. Other than the above, there are no significant differences between our corporate governance practices and those followed by U.S. domestic companies under Nasdaq Capital Market corporate governance listing standards.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 — D. Risk Factors — Risks Relating to Our Class A Ordinary Shares and the Trading Market — As a company incorporated in the Cayman Islands,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an insider trading policy governing the purchase, sale, and other dispositions of our securities by directors, senior management and employees. A copy of our insider trading policy is included as an exhibit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cybersecurity risk management to identify, assess, and mitigate cybersecurity risks alongside other business risks. The process is in alignment with our strategic objectives and risk appetite. We may engage assessors, consultants, auditors, or other third parties to enhance our cyber security risk management processes. Any cybersecurity incidents are closely monitored for their potential impact on our business strategy, operations, and financial condition. As of the date of this annual report, we have not experienced any cybersecurity incidents that have materially affected or are reasonably likely to materially affect us, including our business strategy, results of operations, or financial condition. We continuously adapt our business strategy to enhance resilience, strengthen defenses and ensure the sustainability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U Power Limited, and its operating subsidiaries are included at the end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9"/>
        <w:gridCol w:w="90"/>
        <w:gridCol w:w="9326"/>
      </w:tblGrid>
      <w:tr>
        <w:trPr/>
        <w:tc>
          <w:tcPr>
            <w:tcW w:w="78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32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6"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Third Amended and Restated Memorandum of Association (incorporated by reference to Exhibit 3.1 of our Registration Statement on Form F-1 (File No. 333-285126) initially filed with the Securities and Exchange Commission March 10, 2026)</w:t>
              </w:r>
            </w:hyperlink>
          </w:p>
        </w:tc>
      </w:tr>
      <w:tr>
        <w:trPr/>
        <w:tc>
          <w:tcPr>
            <w:tcW w:w="7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tcMar>
              <w:bottom w:w="0" w:type="dxa"/>
            </w:tcMar>
            <w:vAlign w:val="center"/>
          </w:tcPr>
          <w:p>
            <w:pPr>
              <w:pStyle w:val="TableContents"/>
              <w:bidi w:val="0"/>
              <w:spacing w:before="0" w:after="283"/>
              <w:jc w:val="left"/>
              <w:rPr/>
            </w:pPr>
            <w:r>
              <w:rPr/>
              <w:t> </w:t>
            </w:r>
          </w:p>
        </w:tc>
        <w:tc>
          <w:tcPr>
            <w:tcW w:w="932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Specimen Certificate for Ordinary Shares (incorporated by reference to Exhibit 4.1 of our Registration Statement on Form F-1 (File No. 333-268949) initially filed with the Securities and Exchange Commission on December 22, 2022)</w:t>
              </w:r>
            </w:hyperlink>
          </w:p>
        </w:tc>
      </w:tr>
      <w:tr>
        <w:trPr/>
        <w:tc>
          <w:tcPr>
            <w:tcW w:w="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6"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Form of Underwriter’s Warrants (incorporated by reference to Exhibit 1.1 of our Registration Statement on Form F-1 (File No. 333-268949) initially filed with the Securities and Exchange Commission on December 22, 2022)</w:t>
              </w:r>
            </w:hyperlink>
          </w:p>
        </w:tc>
      </w:tr>
      <w:tr>
        <w:trPr/>
        <w:tc>
          <w:tcPr>
            <w:tcW w:w="7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tcMar>
              <w:bottom w:w="0" w:type="dxa"/>
            </w:tcMar>
            <w:vAlign w:val="center"/>
          </w:tcPr>
          <w:p>
            <w:pPr>
              <w:pStyle w:val="TableContents"/>
              <w:bidi w:val="0"/>
              <w:spacing w:before="0" w:after="283"/>
              <w:jc w:val="left"/>
              <w:rPr/>
            </w:pPr>
            <w:r>
              <w:rPr/>
              <w:t> </w:t>
            </w:r>
          </w:p>
        </w:tc>
        <w:tc>
          <w:tcPr>
            <w:tcW w:w="9326"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Form of Series A Warrants (incorporated by reference to exhibit 99.4 of our report on Form 6-K filed on December 8, 2023)</w:t>
              </w:r>
            </w:hyperlink>
          </w:p>
        </w:tc>
      </w:tr>
      <w:tr>
        <w:trPr/>
        <w:tc>
          <w:tcPr>
            <w:tcW w:w="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6"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Form of Pre-Funded Warrant to purchase Class A Ordinary Shares (incorporated by reference to Exhibit 4.1 of the Form 6-K filed by the Company with the SEC on January 28, 2025)</w:t>
              </w:r>
            </w:hyperlink>
          </w:p>
        </w:tc>
      </w:tr>
      <w:tr>
        <w:trPr/>
        <w:tc>
          <w:tcPr>
            <w:tcW w:w="7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tcMar>
              <w:bottom w:w="0" w:type="dxa"/>
            </w:tcMar>
            <w:vAlign w:val="center"/>
          </w:tcPr>
          <w:p>
            <w:pPr>
              <w:pStyle w:val="TableContents"/>
              <w:bidi w:val="0"/>
              <w:spacing w:before="0" w:after="283"/>
              <w:jc w:val="left"/>
              <w:rPr/>
            </w:pPr>
            <w:r>
              <w:rPr/>
              <w:t> </w:t>
            </w:r>
          </w:p>
        </w:tc>
        <w:tc>
          <w:tcPr>
            <w:tcW w:w="932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Form of Common Warrant to purchase Class A Ordinary Shares (incorporated by reference to Exhibit 4.2 of the Form 6-K filed by the Company with the SEC on January 28, 2025)</w:t>
              </w:r>
            </w:hyperlink>
          </w:p>
        </w:tc>
      </w:tr>
      <w:tr>
        <w:trPr/>
        <w:tc>
          <w:tcPr>
            <w:tcW w:w="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6"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Description of Securities (incorporated by reference to Exhibit 2.6 of the Annual Report on Form 20-F, filed with the SEC on May 15, 2025)</w:t>
              </w:r>
            </w:hyperlink>
          </w:p>
        </w:tc>
      </w:tr>
      <w:tr>
        <w:trPr/>
        <w:tc>
          <w:tcPr>
            <w:tcW w:w="7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0" w:type="dxa"/>
            <w:tcBorders/>
            <w:tcMar>
              <w:bottom w:w="0" w:type="dxa"/>
            </w:tcMar>
            <w:vAlign w:val="center"/>
          </w:tcPr>
          <w:p>
            <w:pPr>
              <w:pStyle w:val="TableContents"/>
              <w:bidi w:val="0"/>
              <w:spacing w:before="0" w:after="283"/>
              <w:jc w:val="both"/>
              <w:rPr/>
            </w:pPr>
            <w:r>
              <w:rPr/>
              <w:t> </w:t>
            </w:r>
          </w:p>
        </w:tc>
        <w:tc>
          <w:tcPr>
            <w:tcW w:w="9326"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 xml:space="preserve">Form of Pre-funded Warrant </w:t>
              </w:r>
            </w:hyperlink>
            <w:hyperlink r:id="rId11">
              <w:r>
                <w:rPr>
                  <w:rStyle w:val="InternetLink"/>
                  <w:rFonts w:ascii="Times New Roman;Times;Serif" w:hAnsi="Times New Roman;Times;Serif"/>
                  <w:sz w:val="20"/>
                  <w:u w:val="single"/>
                </w:rPr>
                <w:t>(incorporated by reference to Exhibit 4.2 of our Registration Statement on Form F-1 (File No. 333-294161) initially filed with the Securities and Exchange Commission on March 10, 2026)</w:t>
              </w:r>
            </w:hyperlink>
          </w:p>
        </w:tc>
      </w:tr>
      <w:tr>
        <w:trPr/>
        <w:tc>
          <w:tcPr>
            <w:tcW w:w="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6"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 xml:space="preserve">Form of Class A Ordinary Share Purchase Warrant </w:t>
              </w:r>
            </w:hyperlink>
            <w:hyperlink r:id="rId13">
              <w:r>
                <w:rPr>
                  <w:rStyle w:val="InternetLink"/>
                  <w:rFonts w:ascii="Times New Roman;Times;Serif" w:hAnsi="Times New Roman;Times;Serif"/>
                  <w:sz w:val="20"/>
                  <w:u w:val="single"/>
                </w:rPr>
                <w:t>(incorporated by reference to Exhibit 4.3 of our Registration Statement on Form F-1 (File No. 333-294161) initially filed with the Securities and Exchange Commission on March 10, 2026)</w:t>
              </w:r>
            </w:hyperlink>
          </w:p>
        </w:tc>
      </w:tr>
      <w:tr>
        <w:trPr/>
        <w:tc>
          <w:tcPr>
            <w:tcW w:w="7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9326"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English translation of Investment Agreement on Joint Venture of Huzhou Zheyou New Energy Sales Co., Ltd. by and between Zhejiang Petroleum Comprehensive Energy Sales Co., Ltd. and Youpin Automobile Service Group Co., Ltd., dated April 15, 2022 (incorporated by reference to exhibit 4.12 to our annual report on Form 20-F filed on August 22, 2023)</w:t>
              </w:r>
            </w:hyperlink>
          </w:p>
        </w:tc>
      </w:tr>
      <w:tr>
        <w:trPr/>
        <w:tc>
          <w:tcPr>
            <w:tcW w:w="7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6"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English translation of Corporate Bond Subscription Agreement by and between Zhejiang Youguan Automobile Service Co., Ltd. and Wuyi Transportation Construction Investment Group Co., Ltd., dated September 17, 2020 (incorporated by reference to exhibit 4.13 to our annual report on Form 20-F filed on August 22, 2023)</w:t>
              </w:r>
            </w:hyperlink>
          </w:p>
        </w:tc>
      </w:tr>
      <w:tr>
        <w:trPr/>
        <w:tc>
          <w:tcPr>
            <w:tcW w:w="7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9326"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English translation of Project Finance Loan Contract by and between Youxu New Energy Technology (Zibo) Co., Ltd. and Qishang Bank, dated December 13, 2021(incorporated by reference to exhibit 4.14 to our annual report on Form 20-F filed on August 22,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0"/>
        <w:gridCol w:w="9690"/>
      </w:tblGrid>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English translation of Settlement Agreement by and between Zhejiang Youguan Automotive Service Co., Ltd. and WuYi Transportation Construction Investment Group Company Limited, dated June 13, 2023 (incorporated by reference to exhibit 4.17 to our annual report on Form 20-F filed on August 22, 2023)</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18">
              <w:r>
                <w:rPr>
                  <w:rStyle w:val="InternetLink"/>
                  <w:rFonts w:ascii="Times New Roman;Times;Serif" w:hAnsi="Times New Roman;Times;Serif"/>
                  <w:sz w:val="20"/>
                </w:rPr>
                <w:t>English translation of Amendment, dated November 10, 2023, to Capital Increase Agreement (originally dated December 31, 2021) among Youxu New Energy Technology (Zibo) Co., Ltd., Mr. Jia Li, and Shandong Qiying Industrial Investment Development Co., Ltd. (incorporated by reference to Exhibit 4.15 from our registration statement on Form 20-F (File No. 001-41679) for the fiscal year ended December 31, 2023, filed with the SEC on May 15, 2024)</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English translation of Consulting Agreement, between U Power Limited and RICHNESS FORTUNE CREDIT(HK) COMPANY LIMITED, dated April 18, 2023 (incorporated by reference to Exhibit 4.16 from our registration statement on Form 20-F (File No. 001-41679) for the fiscal year ended December 31, 2023, filed with the SEC on May 15, 2024)</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20">
              <w:r>
                <w:rPr>
                  <w:rStyle w:val="InternetLink"/>
                  <w:rFonts w:ascii="Times New Roman;Times;Serif" w:hAnsi="Times New Roman;Times;Serif"/>
                  <w:sz w:val="20"/>
                </w:rPr>
                <w:t>English translation of Offshore Business Loan Entrustment Agreement between U Power Limited and Worthy Credit Limited, dated March 31, 2023 (incorporated by reference to Exhibit 4.17 from our registration statement on Form 20-F (File No. 001-41679) for the fiscal year ended December 31, 2023, filed with the SEC on May 15, 2024)</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Service Agreement between U Power Limited and Liberty Asset Management Capital Limited, dated March 31, 2023 (incorporated by reference to Exhibit 4.18 from our registration statement on Form 20-F (File No. 001-41679) for the fiscal year ended December 31, 2023, filed with the SEC on May 15, 2024)</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22">
              <w:r>
                <w:rPr>
                  <w:rStyle w:val="InternetLink"/>
                  <w:rFonts w:ascii="Times New Roman;Times;Serif" w:hAnsi="Times New Roman;Times;Serif"/>
                  <w:sz w:val="20"/>
                </w:rPr>
                <w:t>Form of Securities Purchase Agreement (incorporated by reference to exhibit 99.2 of our report on Form 6-K filed on December 8, 2023)</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4.10</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Subscription Agreement between U Power Limited and Fortune Light Assets Ltd., dated May 13, 2024 (incorporated by reference to exhibit 10.1 of our report on Form 6-K (File No. 001-41679) filed on May 20, 2024)</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4.11</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24">
              <w:r>
                <w:rPr>
                  <w:rStyle w:val="InternetLink"/>
                  <w:rFonts w:ascii="Times New Roman;Times;Serif" w:hAnsi="Times New Roman;Times;Serif"/>
                  <w:sz w:val="20"/>
                </w:rPr>
                <w:t>Subscription Agreement between U Power Limited and Big Benefit Ltd., dated May 23, 2024 (incorporated by reference to exhibit 10.1 of our report on Form 6-K (File No. 001-41679) filed on May 30, 2024)</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4.12</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Subscription Agreement between U Power Limited and Fortune Light Assets Ltd., dated June 24, 2024 (incorporated by reference to exhibit 10.1 of our report on Form 6-K (File No. 001-41679) filed on June 28, 2024)</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4.13</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26">
              <w:r>
                <w:rPr>
                  <w:rStyle w:val="InternetLink"/>
                  <w:rFonts w:ascii="Times New Roman;Times;Serif" w:hAnsi="Times New Roman;Times;Serif"/>
                  <w:sz w:val="20"/>
                </w:rPr>
                <w:t>Form of the Securities Purchase Agreement, dated January 24, 2025, by and among the Company and the purchasers (incorporated by reference to Exhibit 10.2 to the Form 6-K (File No. 001-41679) filed by the Company with the SEC on January 28, 2025)</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4.14</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Placement Agency Agreement, dated January 24, 2025, by and between the Company and Maxim Group LLC (incorporated by reference to Exhibit 10.1 to the Form 6-K (File No. 001-41679) filed by the Company with the SEC on January 28, 2025)</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4.15</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28">
              <w:r>
                <w:rPr>
                  <w:rStyle w:val="InternetLink"/>
                  <w:rFonts w:ascii="Times New Roman;Times;Serif" w:hAnsi="Times New Roman;Times;Serif"/>
                  <w:sz w:val="20"/>
                </w:rPr>
                <w:t>Joint Venture Agreement, dated December 25, 2024, by and between U SWAP Co., Ltd. and Ezzy Transporter (Thailand) Co., Ltd. (incorporated by reference to Exhibit 4.25 of the Annual Report on Form 20-F, filed with the SEC on May 15, 2025)</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4.16</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Joint Venture Agreement, dated December 16, 2024, by and among Associação Nacional dos Transportes Rodoviários em Automóveis Ligeiros, Energy U Limited and UNEXMOB MOBILIDADE ELETRICA, LDA  (incorporated by reference to Exhibit 4.26 of the Annual Report on Form 20-F, filed with the SEC on May 15, 2025)</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4.17</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30">
              <w:r>
                <w:rPr>
                  <w:rStyle w:val="InternetLink"/>
                  <w:rFonts w:ascii="Times New Roman;Times;Serif" w:hAnsi="Times New Roman;Times;Serif"/>
                  <w:sz w:val="20"/>
                </w:rPr>
                <w:t>Placement Agency Agreement, dated July 24, 2025, by and between the Company and Maxim Group LLC (incorporated by reference to Exhibit 10.1 to the Form 6-K filed by the Company with the SEC on July 28, 2025)</w:t>
              </w:r>
            </w:hyperlink>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4.18</w:t>
            </w:r>
          </w:p>
        </w:tc>
        <w:tc>
          <w:tcPr>
            <w:tcW w:w="9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sz w:val="20"/>
                </w:rPr>
                <w:t>Form of Securities Purchase Agreement, dated July 24, 2025, by and between the Company and the Selling Shareholder (incorporated by reference to Exhibit 10.2 to the Form 6-K filed by the Company with the SEC on July 28, 2025)</w:t>
              </w:r>
            </w:hyperlink>
          </w:p>
        </w:tc>
      </w:tr>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4.19</w:t>
            </w:r>
          </w:p>
        </w:tc>
        <w:tc>
          <w:tcPr>
            <w:tcW w:w="9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both"/>
              <w:rPr/>
            </w:pPr>
            <w:hyperlink r:id="rId32">
              <w:r>
                <w:rPr>
                  <w:rStyle w:val="InternetLink"/>
                  <w:rFonts w:ascii="Times New Roman;Times;Serif" w:hAnsi="Times New Roman;Times;Serif"/>
                  <w:sz w:val="20"/>
                </w:rPr>
                <w:t>Form of Securities Purchase Agreement (Incorporated by reference to Exhibit 10.1 to the Registrant’s Report on Form 6-K filed to the Securities and Exchange Commission on December 3,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70"/>
        <w:gridCol w:w="90"/>
        <w:gridCol w:w="9645"/>
      </w:tblGrid>
      <w:tr>
        <w:trPr/>
        <w:tc>
          <w:tcPr>
            <w:tcW w:w="4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4.20</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sz w:val="20"/>
                </w:rPr>
                <w:t>Form of Senior Secured Promissory Note (Incorporated by reference to Exhibit 10.2 to the Registrant’s Report on Form 6-K filed to the Securities and Exchange Commission on December 3, 2025)</w:t>
              </w:r>
            </w:hyperlink>
          </w:p>
        </w:tc>
      </w:tr>
      <w:tr>
        <w:trPr/>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4.21</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34">
              <w:r>
                <w:rPr>
                  <w:rStyle w:val="InternetLink"/>
                  <w:rFonts w:ascii="Times New Roman;Times;Serif" w:hAnsi="Times New Roman;Times;Serif"/>
                  <w:sz w:val="20"/>
                </w:rPr>
                <w:t>Form of Pledge Agreement (Incorporated by reference to Exhibit 10.3 to the Registrant’s Report on Form 6-K filed to the Securities and Exchange Commission on December 3, 2025)</w:t>
              </w:r>
            </w:hyperlink>
          </w:p>
        </w:tc>
      </w:tr>
      <w:tr>
        <w:trPr/>
        <w:tc>
          <w:tcPr>
            <w:tcW w:w="4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4.22</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sz w:val="20"/>
                </w:rPr>
                <w:t>Form of Equity Interest Control Agreement (Incorporated by reference to Exhibit 10.4 to the Registrant’s Report on Form 6-K filed to the Securities and Exchange Commission on December 3, 2025)</w:t>
              </w:r>
            </w:hyperlink>
          </w:p>
        </w:tc>
      </w:tr>
      <w:tr>
        <w:trPr/>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4.23</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36">
              <w:r>
                <w:rPr>
                  <w:rStyle w:val="InternetLink"/>
                  <w:rFonts w:ascii="Times New Roman;Times;Serif" w:hAnsi="Times New Roman;Times;Serif"/>
                  <w:sz w:val="20"/>
                </w:rPr>
                <w:t>Placement Agency Agreement, dated December 1, 2025, by and between the Company and Maxim Group LLC (Incorporated by reference to Exhibit 10.5 to the Registrant’s Report on Form 6-K filed to the Securities and Exchange Commission on December 3, 2025)</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 xml:space="preserve">English translation of Battery-swapping Project Engineering Service Agreement, between Shanghai Youxu New Energy Technology Co., Ltd and SAIC MAXUS AUTOMOBILE CO., LTD., dated September 23, 2025 </w:t>
              </w:r>
            </w:hyperlink>
            <w:hyperlink r:id="rId38">
              <w:r>
                <w:rPr>
                  <w:rStyle w:val="InternetLink"/>
                  <w:rFonts w:ascii="Times New Roman;Times;Serif" w:hAnsi="Times New Roman;Times;Serif"/>
                  <w:sz w:val="20"/>
                  <w:u w:val="single"/>
                </w:rPr>
                <w:t>(incorporated by reference to Exhibit 10.23 of our Registration Statement on Form F-1 (File No. 333-294161) initially filed with the Securities and Exchange Commission on March 10, 2026)</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39">
              <w:r>
                <w:rPr>
                  <w:rStyle w:val="InternetLink"/>
                  <w:rFonts w:ascii="Times New Roman;Times;Serif" w:hAnsi="Times New Roman;Times;Serif"/>
                  <w:sz w:val="20"/>
                </w:rPr>
                <w:t>English translation of Cooperation Agreement, among U Power Limited, UNEX MOBIITY Limited and SAIC Hongyan Automobile Co., Ltd., dated November 20, 2025 (incorporated by reference to Exhibit 10.24 of our Registration Statement on Form F-1 (File No. 333-294161) initially filed with the Securities and Exchange Commission on March 10, 2026)</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Form of the Subscription Agreement, dated April 7, 2026, by and among the Company and the purchasers (incorporated by reference to Exhibit 10.1 to the Form 6-K (File No. 001-41679) filed by the Company with the SEC on April 7, 2026)</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41">
              <w:r>
                <w:rPr>
                  <w:rStyle w:val="InternetLink"/>
                  <w:rFonts w:ascii="Times New Roman;Times;Serif" w:hAnsi="Times New Roman;Times;Serif"/>
                  <w:sz w:val="20"/>
                </w:rPr>
                <w:t>Form of the Subscription Agreement, dated April 27, 2026, by and among the Company and the purchasers (incorporated by reference to Exhibit 10.1 to the Form 6-K (File No. 001-41679) filed by the Company with the SEC on April 28, 2026)</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w:anchor="ea029027201ex8-1.htm">
              <w:r>
                <w:rPr>
                  <w:rStyle w:val="InternetLink"/>
                  <w:rFonts w:ascii="Times New Roman;Times;Serif" w:hAnsi="Times New Roman;Times;Serif"/>
                  <w:sz w:val="20"/>
                </w:rPr>
                <w:t>Subsidiaries of the Registrant</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42">
              <w:r>
                <w:rPr>
                  <w:rStyle w:val="InternetLink"/>
                  <w:rFonts w:ascii="Times New Roman;Times;Serif" w:hAnsi="Times New Roman;Times;Serif"/>
                  <w:sz w:val="20"/>
                </w:rPr>
                <w:t>Code of Business Conduct and Ethics of the Registrant (incorporated by reference to Exhibit 14.1 of our Registration Statement on Form F-1 (File No. 333-268949) initially filed with the Securities and Exchange Commission on December 22, 2022)</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sz w:val="20"/>
                </w:rPr>
                <w:t>Insider Trading Policy (incorporated by reference to Exhibit 11.2 to the Form 20-F Form 20 (File No. 001-41679) for the fiscal year ended December 31, 2023, filed with the SEC on May 15, 2024)</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w:anchor="ea029027201ex12-1.htm">
              <w:r>
                <w:rPr>
                  <w:rStyle w:val="InternetLink"/>
                  <w:rFonts w:ascii="Times New Roman;Times;Serif" w:hAnsi="Times New Roman;Times;Serif"/>
                  <w:sz w:val="20"/>
                </w:rPr>
                <w:t>Certification of Chief Executive Officer pursuant to Section 302 of the Sarbanes-Oxley Act of 2002</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w:anchor="ea029027201ex12-2.htm">
              <w:r>
                <w:rPr>
                  <w:rStyle w:val="InternetLink"/>
                  <w:rFonts w:ascii="Times New Roman;Times;Serif" w:hAnsi="Times New Roman;Times;Serif"/>
                  <w:sz w:val="20"/>
                </w:rPr>
                <w:t>Certification of Chief Financial Officer pursuant to Section 302 of the Sarbanes-Oxley Act of 2002</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w:anchor="ea029027201ex13-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w:anchor="ea029027201ex13-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0"/>
              <w:ind w:left="0" w:right="0" w:hanging="0"/>
              <w:jc w:val="both"/>
              <w:rPr/>
            </w:pPr>
            <w:hyperlink w:anchor="ea029027201ex15-1.htm">
              <w:r>
                <w:rPr>
                  <w:rStyle w:val="InternetLink"/>
                  <w:rFonts w:ascii="Times New Roman;Times;Serif" w:hAnsi="Times New Roman;Times;Serif"/>
                  <w:b w:val="false"/>
                  <w:i w:val="false"/>
                  <w:caps w:val="false"/>
                  <w:smallCaps w:val="false"/>
                  <w:sz w:val="20"/>
                </w:rPr>
                <w:t>Consent of Guantao Law Firm</w:t>
              </w:r>
            </w:hyperlink>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Clawback Policy (incorporated by reference to Exhibit 97.1 from our registration statement on Form 20-F (File No. 001-41679) for the fiscal year ended December 31, 2023, filed with the SEC on May 15, 2024)</w:t>
              </w:r>
            </w:hyperlink>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statements from the Company’s Annual Report on Form 20-F for the year ended December 31, 2025, formatted in Inline XBRL: (i) Consolidated Balance Sheets, (ii) Consolidated Statements of Operations and Comprehensive Income (Loss), (iii) Consolidated Statements of Changes in Shareholders’ Equity, (iv) Consolidated Statements of Cash Flows, and (v) Notes to Consolidated Financial Statements, tagged as blocks of text and including detailed tags</w:t>
            </w:r>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83"/>
        <w:jc w:val="left"/>
        <w:rPr/>
      </w:pPr>
      <w:r>
        <w:rPr/>
        <w:t> </w:t>
      </w:r>
    </w:p>
    <w:tbl>
      <w:tblPr>
        <w:tblW w:w="3700" w:type="dxa"/>
        <w:jc w:val="left"/>
        <w:tblInd w:w="0" w:type="dxa"/>
        <w:tblLayout w:type="fixed"/>
        <w:tblCellMar>
          <w:top w:w="0" w:type="dxa"/>
          <w:left w:w="0" w:type="dxa"/>
          <w:bottom w:w="0" w:type="dxa"/>
          <w:right w:w="0" w:type="dxa"/>
        </w:tblCellMar>
      </w:tblPr>
      <w:tblGrid>
        <w:gridCol w:w="170"/>
        <w:gridCol w:w="353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685"/>
        <w:gridCol w:w="350"/>
        <w:gridCol w:w="3200"/>
      </w:tblGrid>
      <w:tr>
        <w:trPr/>
        <w:tc>
          <w:tcPr>
            <w:tcW w:w="168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 Power Limited</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 Li</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Director, and </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5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29"/>
        <w:gridCol w:w="90"/>
        <w:gridCol w:w="686"/>
      </w:tblGrid>
      <w:tr>
        <w:trPr/>
        <w:tc>
          <w:tcPr>
            <w:tcW w:w="94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Page(s)</w:t>
            </w:r>
          </w:p>
        </w:tc>
      </w:tr>
      <w:tr>
        <w:trPr/>
        <w:tc>
          <w:tcPr>
            <w:tcW w:w="9429" w:type="dxa"/>
            <w:tcBorders/>
            <w:shd w:fill="CCEEFF" w:val="clear"/>
            <w:vAlign w:val="center"/>
          </w:tcPr>
          <w:p>
            <w:pPr>
              <w:pStyle w:val="TableContents"/>
              <w:bidi w:val="0"/>
              <w:spacing w:before="0" w:after="283"/>
              <w:jc w:val="left"/>
              <w:rPr/>
            </w:pPr>
            <w:hyperlink w:anchor="b_006">
              <w:r>
                <w:rPr>
                  <w:rStyle w:val="InternetLink"/>
                  <w:rFonts w:ascii="Times New Roman;Times;Serif" w:hAnsi="Times New Roman;Times;Serif"/>
                  <w:sz w:val="20"/>
                </w:rPr>
                <w:t>REPORT OF INDEPENDENT REGISTERED PUBLIC ACCOUNTING FIRM (PCAOB ID: 7222)</w:t>
              </w:r>
            </w:hyperlink>
          </w:p>
        </w:tc>
        <w:tc>
          <w:tcPr>
            <w:tcW w:w="9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429" w:type="dxa"/>
            <w:tcBorders/>
            <w:vAlign w:val="center"/>
          </w:tcPr>
          <w:p>
            <w:pPr>
              <w:pStyle w:val="TableContents"/>
              <w:bidi w:val="0"/>
              <w:spacing w:before="0" w:after="283"/>
              <w:jc w:val="left"/>
              <w:rPr/>
            </w:pPr>
            <w:hyperlink w:anchor="r_001">
              <w:r>
                <w:rPr>
                  <w:rStyle w:val="InternetLink"/>
                </w:rPr>
                <w:t>REPORT OF INDEPENDENT REGISTERED PUBLIC ACCOUNTING FIRM (PCAOB ID: 6732)</w:t>
              </w:r>
            </w:hyperlink>
          </w:p>
        </w:tc>
        <w:tc>
          <w:tcPr>
            <w:tcW w:w="9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center"/>
              <w:rPr/>
            </w:pPr>
            <w:r>
              <w:rPr/>
              <w:t>F-3</w:t>
            </w:r>
          </w:p>
        </w:tc>
      </w:tr>
      <w:tr>
        <w:trPr/>
        <w:tc>
          <w:tcPr>
            <w:tcW w:w="9429" w:type="dxa"/>
            <w:tcBorders/>
            <w:shd w:fill="CCEEFF" w:val="clear"/>
            <w:vAlign w:val="center"/>
          </w:tcPr>
          <w:p>
            <w:pPr>
              <w:pStyle w:val="TableContents"/>
              <w:bidi w:val="0"/>
              <w:spacing w:before="0" w:after="283"/>
              <w:jc w:val="left"/>
              <w:rPr/>
            </w:pPr>
            <w:hyperlink w:anchor="b_001">
              <w:r>
                <w:rPr>
                  <w:rStyle w:val="InternetLink"/>
                  <w:rFonts w:ascii="Times New Roman;Times;Serif" w:hAnsi="Times New Roman;Times;Serif"/>
                  <w:sz w:val="20"/>
                </w:rPr>
                <w:t>CONSOLIDATED BALANCE SHEETS AS OF DECEMBER 31, 2024 AND 2025</w:t>
              </w:r>
            </w:hyperlink>
          </w:p>
        </w:tc>
        <w:tc>
          <w:tcPr>
            <w:tcW w:w="9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429" w:type="dxa"/>
            <w:tcBorders/>
            <w:vAlign w:val="center"/>
          </w:tcPr>
          <w:p>
            <w:pPr>
              <w:pStyle w:val="TableContents"/>
              <w:bidi w:val="0"/>
              <w:spacing w:before="0" w:after="283"/>
              <w:jc w:val="left"/>
              <w:rPr/>
            </w:pPr>
            <w:hyperlink w:anchor="b_002">
              <w:r>
                <w:rPr>
                  <w:rStyle w:val="InternetLink"/>
                  <w:rFonts w:ascii="Times New Roman;Times;Serif" w:hAnsi="Times New Roman;Times;Serif"/>
                  <w:sz w:val="20"/>
                </w:rPr>
                <w:t>CONSOLIDATED STATEMENTS OF COMPREHENSIVE INCOME FOR THE YEARS ENDED DECEMBER 31, 2023, 2024 AND 2025</w:t>
              </w:r>
            </w:hyperlink>
          </w:p>
        </w:tc>
        <w:tc>
          <w:tcPr>
            <w:tcW w:w="9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429" w:type="dxa"/>
            <w:tcBorders/>
            <w:shd w:fill="CCEEFF" w:val="clear"/>
            <w:vAlign w:val="center"/>
          </w:tcPr>
          <w:p>
            <w:pPr>
              <w:pStyle w:val="TableContents"/>
              <w:bidi w:val="0"/>
              <w:spacing w:before="0" w:after="283"/>
              <w:jc w:val="left"/>
              <w:rPr/>
            </w:pPr>
            <w:hyperlink w:anchor="b_003">
              <w:r>
                <w:rPr>
                  <w:rStyle w:val="InternetLink"/>
                  <w:rFonts w:ascii="Times New Roman;Times;Serif" w:hAnsi="Times New Roman;Times;Serif"/>
                  <w:sz w:val="20"/>
                </w:rPr>
                <w:t>CONSOLIDATED STATEMENTS OF SHAREHOLDERS’ EQUITY FOR THE YEARS ENDED DECEMBER 31, 2023, 2024 AND 2025</w:t>
              </w:r>
            </w:hyperlink>
          </w:p>
        </w:tc>
        <w:tc>
          <w:tcPr>
            <w:tcW w:w="9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9429" w:type="dxa"/>
            <w:tcBorders/>
            <w:vAlign w:val="center"/>
          </w:tcPr>
          <w:p>
            <w:pPr>
              <w:pStyle w:val="TableContents"/>
              <w:bidi w:val="0"/>
              <w:spacing w:before="0" w:after="283"/>
              <w:jc w:val="left"/>
              <w:rPr/>
            </w:pPr>
            <w:hyperlink w:anchor="b_004">
              <w:r>
                <w:rPr>
                  <w:rStyle w:val="InternetLink"/>
                  <w:rFonts w:ascii="Times New Roman;Times;Serif" w:hAnsi="Times New Roman;Times;Serif"/>
                  <w:sz w:val="20"/>
                </w:rPr>
                <w:t>CONSOLIDATED STATEMENTS OF CASH FLOWS FOR THE YEARS ENDED DECEMBER 31, 2023, 2024 AND 2025</w:t>
              </w:r>
            </w:hyperlink>
          </w:p>
        </w:tc>
        <w:tc>
          <w:tcPr>
            <w:tcW w:w="9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r>
        <w:trPr/>
        <w:tc>
          <w:tcPr>
            <w:tcW w:w="9429" w:type="dxa"/>
            <w:tcBorders/>
            <w:shd w:fill="CCEEFF" w:val="clear"/>
            <w:vAlign w:val="center"/>
          </w:tcPr>
          <w:p>
            <w:pPr>
              <w:pStyle w:val="TableContents"/>
              <w:bidi w:val="0"/>
              <w:spacing w:before="0" w:after="283"/>
              <w:jc w:val="left"/>
              <w:rPr/>
            </w:pPr>
            <w:hyperlink w:anchor="b_005">
              <w:r>
                <w:rPr>
                  <w:rStyle w:val="InternetLink"/>
                  <w:rFonts w:ascii="Times New Roman;Times;Serif" w:hAnsi="Times New Roman;Times;Serif"/>
                  <w:sz w:val="20"/>
                </w:rPr>
                <w:t>NOTES TO THE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b_006"/>
      <w:bookmarkEnd w:id="3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U Power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U Power Limited, its subsidiaries and its variable interest entity (collectively, the “Company”) as of December 31, 2025, and the related consolidated statements of operations and comprehensive loss, changes in shareholders’ deficit, and cash flows for the year ended December 31, 2025, and the related notes (collectively, the “financial statements”). In our opinion, the financial statements present fairly, in all material respects, the financial position of the Company as of December 31, 2025 and the results of operations and cash flows for the year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Paragraph Regarding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3 to the consolidated financial statements, the Company’s current financial situation raises substantial doubt about its ability to continue as a going concern. Management’s plans in regard to this matter are also described in Note 3. These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the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 HCL PLLC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r_001"/>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Shareholders of U Power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U Power Limited and Subsidiaries (collectively, the “Company”) as of December 31, 2024, and the related consolidated statements of comprehensive income, shareholders’ equity, and cash flows for each of the years in the two 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 of its operations and its cash flows for each of the years in the two year period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Onestop Assurance 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b_001"/>
      <w:bookmarkEnd w:id="40"/>
      <w:r>
        <w:rPr>
          <w:rFonts w:ascii="Times New Roman;Times;Serif" w:hAnsi="Times New Roman;Times;Serif"/>
          <w:b/>
          <w:i w:val="false"/>
          <w:caps w:val="false"/>
          <w:smallCaps w:val="false"/>
          <w:sz w:val="20"/>
        </w:rPr>
        <w:t>U POWER LIMITED</w:t>
        <w:br/>
        <w:t>CONSOLIDATED BALANCE SHEETS</w:t>
        <w:br/>
        <w:t>(Amounts in thousands of RMB and US$,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25"/>
        <w:gridCol w:w="90"/>
        <w:gridCol w:w="620"/>
        <w:gridCol w:w="90"/>
        <w:gridCol w:w="90"/>
        <w:gridCol w:w="905"/>
        <w:gridCol w:w="125"/>
        <w:gridCol w:w="90"/>
        <w:gridCol w:w="90"/>
        <w:gridCol w:w="905"/>
        <w:gridCol w:w="125"/>
        <w:gridCol w:w="90"/>
        <w:gridCol w:w="90"/>
        <w:gridCol w:w="785"/>
        <w:gridCol w:w="185"/>
      </w:tblGrid>
      <w:tr>
        <w:trPr/>
        <w:tc>
          <w:tcPr>
            <w:tcW w:w="5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85" w:type="dxa"/>
            <w:tcBorders/>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85" w:type="dxa"/>
            <w:tcBorders/>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85" w:type="dxa"/>
            <w:tcBorders/>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3,158</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1,749</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 to suppliers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1,613</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from related parties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8,575</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20,972</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1,215</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investments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19,056</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Refundable deposit for investment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11,228</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280,639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231,394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32,921</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385,714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378,798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53,893</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EQUITY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borrowings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2,699</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2,779</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29,915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4,256</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customers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current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related parties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56,897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81,864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11,647</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non-current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borrowings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64,734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84,226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11,983</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825</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ind w:left="0" w:right="0" w:hanging="180"/>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(US$0.00001 par value; 5,000,000,000 shares authorized; 3,378,188 and 4,971,484 issued and outstanding as of December 31, 2024 and 2025)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ind w:left="0" w:right="0" w:hanging="180"/>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ordinary shares, $0.00001 par value, 3,999,411,812 Class A ordinary shares authorized, 2,790,000 and 4,603,440 Class A ordinary shares issued and outstanding as of December 31, 2024 and 2025*</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ind w:left="0" w:right="0" w:hanging="180"/>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ordinary shares, $0.00001 par value, 1,000,588,188 Class B ordinary shares authorized, 588,188 and 368,044 Class B ordinary shares issued and outstanding as of December 31, 2024 and 2025*</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ind w:left="0" w:right="0" w:hanging="180"/>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512,568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80,394</w:t>
            </w:r>
          </w:p>
        </w:tc>
        <w:tc>
          <w:tcPr>
            <w:tcW w:w="185" w:type="dxa"/>
            <w:tcBorders/>
            <w:vAlign w:val="center"/>
          </w:tcPr>
          <w:p>
            <w:pPr>
              <w:pStyle w:val="TableContents"/>
              <w:bidi w:val="0"/>
              <w:spacing w:before="0" w:after="283"/>
              <w:ind w:left="0" w:right="0" w:hanging="180"/>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Translation reserve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(602</w:t>
            </w:r>
          </w:p>
        </w:tc>
        <w:tc>
          <w:tcPr>
            <w:tcW w:w="185" w:type="dxa"/>
            <w:tcBorders/>
            <w:shd w:fill="CCEEFF" w:val="clear"/>
            <w:vAlign w:val="center"/>
          </w:tcPr>
          <w:p>
            <w:pPr>
              <w:pStyle w:val="TableContents"/>
              <w:bidi w:val="0"/>
              <w:spacing w:before="0" w:after="283"/>
              <w:ind w:left="0" w:right="0" w:hanging="180"/>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(221,098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(289,818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(41,233</w:t>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U POWER LIMITED’s shareholders’ equity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291,470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271,020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38,559</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Non-controlling interests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2,526</w:t>
            </w:r>
          </w:p>
        </w:tc>
        <w:tc>
          <w:tcPr>
            <w:tcW w:w="185" w:type="dxa"/>
            <w:tcBorders/>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320,980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288,772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41,085</w:t>
            </w:r>
          </w:p>
        </w:tc>
        <w:tc>
          <w:tcPr>
            <w:tcW w:w="185" w:type="dxa"/>
            <w:tcBorders/>
            <w:shd w:fill="CCEEFF" w:val="clear"/>
            <w:vAlign w:val="center"/>
          </w:tcPr>
          <w:p>
            <w:pPr>
              <w:pStyle w:val="TableContents"/>
              <w:bidi w:val="0"/>
              <w:spacing w:before="0" w:after="283"/>
              <w:jc w:val="left"/>
              <w:rPr/>
            </w:pPr>
            <w:r>
              <w:rPr/>
              <w:t> </w:t>
            </w:r>
          </w:p>
        </w:tc>
      </w:tr>
      <w:tr>
        <w:trPr/>
        <w:tc>
          <w:tcPr>
            <w:tcW w:w="5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equity</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385,714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378,798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53,893</w:t>
            </w:r>
          </w:p>
        </w:tc>
        <w:tc>
          <w:tcPr>
            <w:tcW w:w="1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25, 2024, the Company’s shareholders adopted an ordinary resolution to effect that every 100 ordinary shares with a par value of US$0.0000001 each in the Company’s issued and unissued share capital be consolidated into one ordinary share with a par value of US$0.00001 each, which became effective on March 31, 2024. During fiscal year 2025, the Company issued an aggregate of 159,329,600 ordinary shares with a par value of US$0.0000001 each on a pre-consolidation basis, equivalent to 1,593,296 ordinary shares with a par value of US$0.00001 each on a post-consolidation basis. As of December 31, 2025, the Company had approximately 4,971,484 ordinary shares with a par value of US$0.00001 each issued and outstanding on a post-consolidation basis. This does not give effect to the 1-for-10 share consolidation effected on April 1,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b_002"/>
      <w:bookmarkEnd w:id="41"/>
      <w:r>
        <w:rPr>
          <w:rFonts w:ascii="Times New Roman;Times;Serif" w:hAnsi="Times New Roman;Times;Serif"/>
          <w:b/>
          <w:i w:val="false"/>
          <w:caps w:val="false"/>
          <w:smallCaps w:val="false"/>
          <w:sz w:val="20"/>
        </w:rPr>
        <w:t>U POWER LIMITED</w:t>
        <w:br/>
        <w:t>CONSOLIDATED STATEMENTS OF COMPREHENSIVE LOSS</w:t>
        <w:br/>
        <w:t>(Amounts in thousands of RMB and US$, except for number of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0"/>
        <w:gridCol w:w="90"/>
        <w:gridCol w:w="620"/>
        <w:gridCol w:w="90"/>
        <w:gridCol w:w="90"/>
        <w:gridCol w:w="1010"/>
        <w:gridCol w:w="125"/>
        <w:gridCol w:w="90"/>
        <w:gridCol w:w="90"/>
        <w:gridCol w:w="1010"/>
        <w:gridCol w:w="125"/>
        <w:gridCol w:w="90"/>
        <w:gridCol w:w="90"/>
        <w:gridCol w:w="1010"/>
        <w:gridCol w:w="125"/>
        <w:gridCol w:w="90"/>
        <w:gridCol w:w="90"/>
        <w:gridCol w:w="1010"/>
        <w:gridCol w:w="170"/>
      </w:tblGrid>
      <w:tr>
        <w:trPr/>
        <w:tc>
          <w:tcPr>
            <w:tcW w:w="4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4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7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revenues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sales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w:t>
            </w:r>
          </w:p>
        </w:tc>
        <w:tc>
          <w:tcPr>
            <w:tcW w:w="170"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Sourcing services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Battery-swapping services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70"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net revenues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5,851</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(33,827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14,917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2,122</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(41,222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(52,627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impairment of long-lived assets and long-term investment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expected credit losses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(49,075</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(68,452</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(73,183</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(10,411</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(36,903</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(57,989</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(58,266</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(8,289</w:t>
            </w:r>
          </w:p>
        </w:tc>
        <w:tc>
          <w:tcPr>
            <w:tcW w:w="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437</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(24,344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(3,463</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income taxes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(22,853</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(56,362</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(76,897</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(10,940</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(25,466</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(56,362</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(80,478</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(11,449</w:t>
            </w:r>
          </w:p>
        </w:tc>
        <w:tc>
          <w:tcPr>
            <w:tcW w:w="170"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Net loss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the Company’s shareholders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(19,338</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(47,922</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(68,720</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(9,776</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1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attributable to ordinary shareholders of the Company’s shareholders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shares used in calculating basic and diluted loss per share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1,243,140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2,854,594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4,567,460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4,567,460</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(25,466</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(56,362</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(80,478</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(11,449</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net of tax of nil:</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Comprehensive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(25,020</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(56,808</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(84,709</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(12,051</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25, 2024, the Company’s shareholders adopted an ordinary resolution to effect that every 100 ordinary shares with a par value of US$0.0000001 each in the Company’s issued and unissued share capital be consolidated into one ordinary share with a par value of US$0.00001 each, which became effective on March 31, 2024. During fiscal year 2025, the Company issued an aggregate of 159,329,600 ordinary shares with a par value of US$0.0000001 each on a pre-consolidation basis, equivalent to 1,593,296 ordinary shares with a par value of US$0.00001 each on a post-consolidation basis. As of December 31, 2025, the Company had approximately 4,971,484 ordinary shares with a par value of US$0.00001 each issued and outstanding on a post-consolidation basis. This does not give effect to the 1-for-10 share consolidation effected on April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b_003"/>
      <w:bookmarkEnd w:id="42"/>
      <w:r>
        <w:rPr>
          <w:rFonts w:ascii="Times New Roman;Times;Serif" w:hAnsi="Times New Roman;Times;Serif"/>
          <w:b/>
          <w:i w:val="false"/>
          <w:caps w:val="false"/>
          <w:smallCaps w:val="false"/>
          <w:sz w:val="20"/>
        </w:rPr>
        <w:t>U POWER LIMITED</w:t>
        <w:br/>
        <w:t>CONSOLIDATED STATEMENTS OF SHAREHOLDERS’ EQUITY</w:t>
        <w:br/>
        <w:t>(Amounts in thousands of RMB and US$,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4525" w:type="dxa"/>
        <w:jc w:val="left"/>
        <w:tblInd w:w="0" w:type="dxa"/>
        <w:tblLayout w:type="fixed"/>
        <w:tblCellMar>
          <w:top w:w="0" w:type="dxa"/>
          <w:left w:w="0" w:type="dxa"/>
          <w:bottom w:w="0" w:type="dxa"/>
          <w:right w:w="0" w:type="dxa"/>
        </w:tblCellMar>
      </w:tblPr>
      <w:tblGrid>
        <w:gridCol w:w="1520"/>
        <w:gridCol w:w="90"/>
        <w:gridCol w:w="90"/>
        <w:gridCol w:w="1010"/>
        <w:gridCol w:w="90"/>
        <w:gridCol w:w="90"/>
        <w:gridCol w:w="115"/>
        <w:gridCol w:w="775"/>
        <w:gridCol w:w="90"/>
        <w:gridCol w:w="90"/>
        <w:gridCol w:w="90"/>
        <w:gridCol w:w="830"/>
        <w:gridCol w:w="90"/>
        <w:gridCol w:w="90"/>
        <w:gridCol w:w="115"/>
        <w:gridCol w:w="775"/>
        <w:gridCol w:w="90"/>
        <w:gridCol w:w="90"/>
        <w:gridCol w:w="110"/>
        <w:gridCol w:w="1020"/>
        <w:gridCol w:w="125"/>
        <w:gridCol w:w="90"/>
        <w:gridCol w:w="126"/>
        <w:gridCol w:w="1274"/>
        <w:gridCol w:w="125"/>
        <w:gridCol w:w="90"/>
        <w:gridCol w:w="118"/>
        <w:gridCol w:w="1117"/>
        <w:gridCol w:w="125"/>
        <w:gridCol w:w="90"/>
        <w:gridCol w:w="228"/>
        <w:gridCol w:w="1127"/>
        <w:gridCol w:w="125"/>
        <w:gridCol w:w="90"/>
        <w:gridCol w:w="117"/>
        <w:gridCol w:w="1028"/>
        <w:gridCol w:w="125"/>
        <w:gridCol w:w="90"/>
        <w:gridCol w:w="90"/>
        <w:gridCol w:w="830"/>
        <w:gridCol w:w="135"/>
      </w:tblGrid>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U POWER LIMITED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Non-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Translation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shareholders’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controlling</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RMB</w:t>
            </w:r>
          </w:p>
        </w:tc>
        <w:tc>
          <w:tcPr>
            <w:tcW w:w="135" w:type="dxa"/>
            <w:tcBorders/>
            <w:vAlign w:val="center"/>
          </w:tcPr>
          <w:p>
            <w:pPr>
              <w:pStyle w:val="TableContents"/>
              <w:bidi w:val="0"/>
              <w:spacing w:before="0" w:after="283"/>
              <w:ind w:left="0" w:right="0" w:hanging="180"/>
              <w:jc w:val="center"/>
              <w:rPr/>
            </w:pPr>
            <w:r>
              <w:rPr/>
              <w:t> </w:t>
            </w:r>
          </w:p>
        </w:tc>
      </w:tr>
      <w:tr>
        <w:trPr/>
        <w:tc>
          <w:tcPr>
            <w:tcW w:w="1520" w:type="dxa"/>
            <w:tcBorders/>
            <w:shd w:fill="CCEEFF" w:val="clear"/>
            <w:vAlign w:val="center"/>
          </w:tcPr>
          <w:p>
            <w:pPr>
              <w:pStyle w:val="TableContents"/>
              <w:bidi w:val="0"/>
              <w:spacing w:before="0" w:after="283"/>
              <w:jc w:val="left"/>
              <w:rPr>
                <w:b/>
              </w:rPr>
            </w:pPr>
            <w:r>
              <w:rPr>
                <w:b/>
              </w:rPr>
              <w:t>Balance as of December 31, 2022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        </w:t>
            </w: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b/>
              </w:rPr>
            </w:pPr>
            <w:r>
              <w:rPr>
                <w:b/>
              </w:rPr>
              <w:t>319,775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(153,838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0"/>
              <w:jc w:val="right"/>
              <w:rPr/>
            </w:pPr>
            <w:r>
              <w:rPr/>
              <w:t>            </w:t>
            </w: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b/>
              </w:rPr>
            </w:pPr>
            <w:r>
              <w:rPr>
                <w:b/>
              </w:rPr>
              <w:t>165,937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b/>
              </w:rPr>
            </w:pPr>
            <w:r>
              <w:rPr>
                <w:b/>
              </w:rPr>
              <w:t>39,078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205,015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Consolidated 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(19,338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(19,338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(6,128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(25,466</w:t>
            </w:r>
          </w:p>
        </w:tc>
        <w:tc>
          <w:tcPr>
            <w:tcW w:w="135" w:type="dxa"/>
            <w:tcBorders/>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pPr>
            <w:r>
              <w:rPr/>
              <w:t>Issuance of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743,140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743,140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159,625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159,625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159,625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Capital contribution from non-controlling shareholders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5,000</w:t>
            </w:r>
          </w:p>
        </w:tc>
        <w:tc>
          <w:tcPr>
            <w:tcW w:w="135"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Other comprehensive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b/>
              </w:rPr>
            </w:pPr>
            <w:r>
              <w:rPr>
                <w:b/>
              </w:rPr>
              <w:t>Balance as of December 31, 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1,243,140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b/>
              </w:rPr>
            </w:pPr>
            <w:r>
              <w:rPr>
                <w:b/>
              </w:rPr>
              <w:t>479,400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b/>
              </w:rPr>
            </w:pPr>
            <w:r>
              <w:rPr>
                <w:b/>
              </w:rPr>
              <w:t>(173,176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b/>
              </w:rPr>
            </w:pPr>
            <w:r>
              <w:rPr>
                <w:b/>
              </w:rPr>
              <w:t>446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b/>
              </w:rPr>
            </w:pPr>
            <w:r>
              <w:rPr>
                <w:b/>
              </w:rPr>
              <w:t>306,670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b/>
              </w:rPr>
            </w:pPr>
            <w:r>
              <w:rPr>
                <w:b/>
              </w:rPr>
              <w:t>37,950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344,620</w:t>
            </w:r>
          </w:p>
        </w:tc>
        <w:tc>
          <w:tcPr>
            <w:tcW w:w="135"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Consolidated 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(47,922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(47,922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(8,440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(56,362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20" w:type="dxa"/>
            <w:tcBorders/>
            <w:vAlign w:val="center"/>
          </w:tcPr>
          <w:p>
            <w:pPr>
              <w:pStyle w:val="TableContents"/>
              <w:bidi w:val="0"/>
              <w:spacing w:before="0" w:after="283"/>
              <w:jc w:val="left"/>
              <w:rPr/>
            </w:pPr>
            <w:r>
              <w:rPr/>
              <w:t>Issuance of 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1,546,860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588,188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49,276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49,276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49,276</w:t>
            </w:r>
          </w:p>
        </w:tc>
        <w:tc>
          <w:tcPr>
            <w:tcW w:w="135"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Investment Refund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(16,108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(16,108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(16,108</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2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before="0" w:after="283"/>
              <w:jc w:val="right"/>
              <w:rPr/>
            </w:pPr>
            <w:r>
              <w:rPr/>
              <w:t>(446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(446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(446</w:t>
            </w:r>
          </w:p>
        </w:tc>
        <w:tc>
          <w:tcPr>
            <w:tcW w:w="135" w:type="dxa"/>
            <w:tcBorders/>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b/>
              </w:rPr>
            </w:pPr>
            <w:r>
              <w:rPr>
                <w:b/>
              </w:rPr>
              <w:t>Balance as of December 31, 2024 in RMB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2,790,000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588,188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b/>
              </w:rPr>
            </w:pPr>
            <w:r>
              <w:rPr>
                <w:b/>
              </w:rPr>
              <w:t>512,568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(221,098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b/>
              </w:rPr>
            </w:pPr>
            <w:r>
              <w:rPr>
                <w:b/>
              </w:rPr>
              <w:t>291,470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b/>
              </w:rPr>
            </w:pPr>
            <w:r>
              <w:rPr>
                <w:b/>
              </w:rPr>
              <w:t>29,510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320,980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Consolidated 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(68,720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(68,720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(11,758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(80,478</w:t>
            </w:r>
          </w:p>
        </w:tc>
        <w:tc>
          <w:tcPr>
            <w:tcW w:w="135" w:type="dxa"/>
            <w:tcBorders/>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pPr>
            <w:r>
              <w:rPr/>
              <w:t>Issuance of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1,593,296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52,501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52,501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52,501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before="0" w:after="283"/>
              <w:jc w:val="right"/>
              <w:rPr/>
            </w:pPr>
            <w:r>
              <w:rPr/>
              <w:t>(4,231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(4,231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(4,231</w:t>
            </w:r>
          </w:p>
        </w:tc>
        <w:tc>
          <w:tcPr>
            <w:tcW w:w="135" w:type="dxa"/>
            <w:tcBorders/>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b/>
              </w:rPr>
            </w:pPr>
            <w:r>
              <w:rPr>
                <w:b/>
              </w:rPr>
              <w:t>Balance as of December 31, 2025 in RMB</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4,383,296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double" w:sz="10" w:space="0" w:color="000000"/>
            </w:tcBorders>
            <w:shd w:fill="CCEEFF" w:val="clear"/>
            <w:tcMar>
              <w:bottom w:w="28" w:type="dxa"/>
            </w:tcM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588,188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double" w:sz="10" w:space="0" w:color="000000"/>
            </w:tcBorders>
            <w:shd w:fill="CCEEFF" w:val="clear"/>
            <w:tcMar>
              <w:bottom w:w="28" w:type="dxa"/>
            </w:tcM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565,069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(289,818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(4,231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271,020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17,752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288,772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b/>
              </w:rPr>
            </w:pPr>
            <w:r>
              <w:rPr>
                <w:b/>
              </w:rPr>
              <w:t>Balance as of December 31, 2025 in US$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77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775" w:type="dxa"/>
            <w:tcBorders>
              <w:bottom w:val="double" w:sz="10"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b/>
              </w:rPr>
            </w:pPr>
            <w:r>
              <w:rPr>
                <w:b/>
              </w:rPr>
              <w:t>80,394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tcMar>
              <w:bottom w:w="28" w:type="dxa"/>
            </w:tcMar>
            <w:vAlign w:val="center"/>
          </w:tcPr>
          <w:p>
            <w:pPr>
              <w:pStyle w:val="TableContents"/>
              <w:bidi w:val="0"/>
              <w:spacing w:before="0" w:after="283"/>
              <w:jc w:val="right"/>
              <w:rPr>
                <w:b/>
              </w:rPr>
            </w:pPr>
            <w:r>
              <w:rPr>
                <w:b/>
              </w:rPr>
              <w:t>(41,233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8"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tcMar>
              <w:bottom w:w="28" w:type="dxa"/>
            </w:tcMar>
            <w:vAlign w:val="center"/>
          </w:tcPr>
          <w:p>
            <w:pPr>
              <w:pStyle w:val="TableContents"/>
              <w:bidi w:val="0"/>
              <w:spacing w:before="0" w:after="283"/>
              <w:jc w:val="right"/>
              <w:rPr>
                <w:b/>
              </w:rPr>
            </w:pPr>
            <w:r>
              <w:rPr>
                <w:b/>
              </w:rPr>
              <w:t>(4,231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8"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tcMar>
              <w:bottom w:w="28" w:type="dxa"/>
            </w:tcMar>
            <w:vAlign w:val="center"/>
          </w:tcPr>
          <w:p>
            <w:pPr>
              <w:pStyle w:val="TableContents"/>
              <w:bidi w:val="0"/>
              <w:spacing w:before="0" w:after="283"/>
              <w:jc w:val="right"/>
              <w:rPr>
                <w:b/>
              </w:rPr>
            </w:pPr>
            <w:r>
              <w:rPr>
                <w:b/>
              </w:rPr>
              <w:t>38,559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8" w:type="dxa"/>
            <w:tcBorders>
              <w:bottom w:val="double" w:sz="10" w:space="0" w:color="000000"/>
            </w:tcBorders>
            <w:tcMar>
              <w:bottom w:w="28" w:type="dxa"/>
            </w:tcMar>
            <w:vAlign w:val="center"/>
          </w:tcPr>
          <w:p>
            <w:pPr>
              <w:pStyle w:val="TableContents"/>
              <w:bidi w:val="0"/>
              <w:spacing w:before="0" w:after="283"/>
              <w:jc w:val="right"/>
              <w:rPr>
                <w:b/>
              </w:rPr>
            </w:pPr>
            <w:r>
              <w:rPr>
                <w:b/>
              </w:rPr>
              <w:t>2,526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41,085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25, 2024, the Company’s shareholders adopted an ordinary resolution to effect that every 100 ordinary shares with a par value of US$0.0000001 each in the Company’s issued and unissued share capital be consolidated into one ordinary share with a par value of US$0.00001 each, which became effective on March 31, 2024. During fiscal year 2025, the Company issued an aggregate of 159,329,600 ordinary shares with a par value of US$0.0000001 each on a pre-consolidation basis, equivalent to 1,593,296 ordinary shares with a par value of US$0.00001 each on a post-consolidation basis. As of December 31, 2025, the Company had approximately 4,971,484 ordinary shares with a par value of US$0.00001 each issued and outstanding on a post-consolidation basis. This does not give effect to the 1-for-10 share consolidation effected on April 1,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b_004"/>
      <w:bookmarkEnd w:id="43"/>
      <w:r>
        <w:rPr>
          <w:rFonts w:ascii="Times New Roman;Times;Serif" w:hAnsi="Times New Roman;Times;Serif"/>
          <w:b/>
          <w:i w:val="false"/>
          <w:caps w:val="false"/>
          <w:smallCaps w:val="false"/>
          <w:sz w:val="20"/>
        </w:rPr>
        <w:t>U POWER LIMITED</w:t>
        <w:br/>
        <w:t>CONSOLIDATED STATEMENTS OF CASH FLOWS</w:t>
        <w:br/>
        <w:t>(Amounts in thousands of RMB and US$,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6140"/>
        <w:gridCol w:w="90"/>
        <w:gridCol w:w="90"/>
        <w:gridCol w:w="725"/>
        <w:gridCol w:w="110"/>
        <w:gridCol w:w="90"/>
        <w:gridCol w:w="90"/>
        <w:gridCol w:w="680"/>
        <w:gridCol w:w="110"/>
        <w:gridCol w:w="90"/>
        <w:gridCol w:w="90"/>
        <w:gridCol w:w="680"/>
        <w:gridCol w:w="110"/>
        <w:gridCol w:w="90"/>
        <w:gridCol w:w="90"/>
        <w:gridCol w:w="680"/>
        <w:gridCol w:w="155"/>
      </w:tblGrid>
      <w:tr>
        <w:trPr/>
        <w:tc>
          <w:tcPr>
            <w:tcW w:w="61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72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Years Ended December 31,</w:t>
            </w:r>
          </w:p>
        </w:tc>
        <w:tc>
          <w:tcPr>
            <w:tcW w:w="155" w:type="dxa"/>
            <w:tcBorders/>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155" w:type="dxa"/>
            <w:tcBorders/>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b/>
                <w:sz w:val="20"/>
              </w:rPr>
            </w:pPr>
            <w:r>
              <w:rPr>
                <w:b/>
                <w:sz w:val="20"/>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b/>
                <w:sz w:val="20"/>
              </w:rPr>
            </w:pPr>
            <w:r>
              <w:rPr>
                <w:b/>
                <w:sz w:val="20"/>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b/>
                <w:sz w:val="20"/>
              </w:rPr>
            </w:pPr>
            <w:r>
              <w:rPr>
                <w:b/>
                <w:sz w:val="20"/>
              </w:rPr>
              <w:t>RMB</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b/>
                <w:sz w:val="20"/>
              </w:rPr>
            </w:pPr>
            <w:r>
              <w:rPr>
                <w:b/>
                <w:sz w:val="20"/>
              </w:rPr>
              <w:t>US$</w:t>
            </w:r>
          </w:p>
        </w:tc>
        <w:tc>
          <w:tcPr>
            <w:tcW w:w="155" w:type="dxa"/>
            <w:tcBorders/>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left"/>
              <w:rPr>
                <w:b/>
                <w:sz w:val="20"/>
              </w:rPr>
            </w:pPr>
            <w:r>
              <w:rPr>
                <w:b/>
                <w:sz w:val="20"/>
              </w:rPr>
              <w:t>CASH FLOWS FROM OPERATING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b/>
                <w:sz w:val="20"/>
              </w:rPr>
            </w:pPr>
            <w:r>
              <w:rPr>
                <w:b/>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(25,466</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(56,362</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(80,478</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(11,449</w:t>
            </w:r>
          </w:p>
        </w:tc>
        <w:tc>
          <w:tcPr>
            <w:tcW w:w="15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6140" w:type="dxa"/>
            <w:tcBorders/>
            <w:vAlign w:val="center"/>
          </w:tcPr>
          <w:p>
            <w:pPr>
              <w:pStyle w:val="TableContents"/>
              <w:bidi w:val="0"/>
              <w:spacing w:before="0" w:after="283"/>
              <w:jc w:val="left"/>
              <w:rPr>
                <w:i/>
                <w:sz w:val="20"/>
              </w:rPr>
            </w:pPr>
            <w:r>
              <w:rPr>
                <w:i/>
                <w:sz w:val="20"/>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2,607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3,057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2,112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301</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Amortization of right-of-use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5,719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5,450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6,333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901</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Allowance for expected credit losses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1,196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5,264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12,599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1,792</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Loss on impairment of property, plant and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1,896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Loss on impairment of long-term investment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10,503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Share of loss/(gain) in equity method investee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94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295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(339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(48</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Reversal of loss on impairment of Inventories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(79</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i/>
                <w:sz w:val="20"/>
              </w:rPr>
            </w:pPr>
            <w:r>
              <w:rPr>
                <w:i/>
                <w:sz w:val="20"/>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Accounts receivables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(14,168</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3,811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(13,172</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(1,874</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Inventories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(4,354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(2,418</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(344</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6140" w:type="dxa"/>
            <w:tcBorders/>
            <w:vAlign w:val="center"/>
          </w:tcPr>
          <w:p>
            <w:pPr>
              <w:pStyle w:val="TableContents"/>
              <w:bidi w:val="0"/>
              <w:spacing w:before="0" w:after="283"/>
              <w:jc w:val="left"/>
              <w:rPr>
                <w:sz w:val="20"/>
              </w:rPr>
            </w:pPr>
            <w:r>
              <w:rPr>
                <w:sz w:val="20"/>
              </w:rPr>
              <w:t>Advance to suppliers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(3,929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1,499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(2,887</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(411</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Other 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(21,228</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8,174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(21,891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(3,113</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6140" w:type="dxa"/>
            <w:tcBorders/>
            <w:vAlign w:val="center"/>
          </w:tcPr>
          <w:p>
            <w:pPr>
              <w:pStyle w:val="TableContents"/>
              <w:bidi w:val="0"/>
              <w:spacing w:before="0" w:after="283"/>
              <w:jc w:val="left"/>
              <w:rPr>
                <w:sz w:val="20"/>
              </w:rPr>
            </w:pPr>
            <w:r>
              <w:rPr>
                <w:sz w:val="20"/>
              </w:rPr>
              <w:t>Amount due from related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(22</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(1,514</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1,626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231</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Other non-current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30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(45,704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Accounts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(899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4,076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5,226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744</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Accrued expenses and other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(15,106</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(1,862</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19,350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2,753</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Income tax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2,621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(31</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2,778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395</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Advance from customers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(721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(1,451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2,126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302</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Amount due to related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5,180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(2,192</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(3,239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(461</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Commitments and contingent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5,801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825</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Contract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(1,050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(148</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Operating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(3,453</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(1,750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(2,371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(337</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6140" w:type="dxa"/>
            <w:tcBorders/>
            <w:vAlign w:val="center"/>
          </w:tcPr>
          <w:p>
            <w:pPr>
              <w:pStyle w:val="TableContents"/>
              <w:bidi w:val="0"/>
              <w:spacing w:before="0" w:after="283"/>
              <w:jc w:val="left"/>
              <w:rPr>
                <w:b/>
                <w:sz w:val="20"/>
              </w:rPr>
            </w:pPr>
            <w:r>
              <w:rPr>
                <w:b/>
                <w:sz w:val="20"/>
              </w:rPr>
              <w:t>Net cash used in operating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b/>
                <w:sz w:val="20"/>
              </w:rPr>
            </w:pPr>
            <w:r>
              <w:rPr>
                <w:b/>
                <w:sz w:val="20"/>
              </w:rPr>
              <w:t>(65,442</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(73,170</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(69,894</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(9,941</w:t>
            </w:r>
          </w:p>
        </w:tc>
        <w:tc>
          <w:tcPr>
            <w:tcW w:w="155" w:type="dxa"/>
            <w:tcBorders/>
            <w:vAlign w:val="center"/>
          </w:tcPr>
          <w:p>
            <w:pPr>
              <w:pStyle w:val="TableContents"/>
              <w:bidi w:val="0"/>
              <w:spacing w:before="0" w:after="283"/>
              <w:jc w:val="left"/>
              <w:rPr>
                <w:b/>
                <w:sz w:val="20"/>
              </w:rPr>
            </w:pPr>
            <w:r>
              <w:rPr>
                <w:b/>
                <w:sz w:val="20"/>
              </w:rPr>
              <w:t>)</w:t>
            </w:r>
          </w:p>
        </w:tc>
      </w:tr>
      <w:tr>
        <w:trPr/>
        <w:tc>
          <w:tcPr>
            <w:tcW w:w="61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b/>
                <w:sz w:val="20"/>
              </w:rPr>
            </w:pPr>
            <w:r>
              <w:rPr>
                <w:b/>
                <w:sz w:val="20"/>
              </w:rPr>
              <w:t>CASH FLOWS FROM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Purchases of property, plant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(881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(500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(71</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6140" w:type="dxa"/>
            <w:tcBorders/>
            <w:vAlign w:val="center"/>
          </w:tcPr>
          <w:p>
            <w:pPr>
              <w:pStyle w:val="TableContents"/>
              <w:bidi w:val="0"/>
              <w:spacing w:before="0" w:after="283"/>
              <w:jc w:val="left"/>
              <w:rPr>
                <w:sz w:val="20"/>
              </w:rPr>
            </w:pPr>
            <w:r>
              <w:rPr>
                <w:sz w:val="20"/>
              </w:rPr>
              <w:t>Proceeds from disposal of property, plant and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Loans (provided to)/received from     third parties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(33,255</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16,734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Received from loans to third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23,762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3,381</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Received from refundable deposit for investment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7,409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32,975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39,745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5,655</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Loans provided to related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(40,243</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(5,725</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Repayments of loan from   related parties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1,037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148</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Prepayment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(42,599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Payment for deferred consideration in relation to investment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(3,000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Increase in long-term investments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(11,750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(736</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b/>
                <w:sz w:val="20"/>
              </w:rPr>
            </w:pPr>
            <w:r>
              <w:rPr>
                <w:b/>
                <w:sz w:val="20"/>
              </w:rPr>
              <w:t>Net cash (used in)/ provided by investing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b/>
                <w:sz w:val="20"/>
              </w:rPr>
            </w:pPr>
            <w:r>
              <w:rPr>
                <w:b/>
                <w:sz w:val="20"/>
              </w:rPr>
              <w:t>(84,076</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49,093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23,830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3,392</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b/>
                <w:sz w:val="20"/>
              </w:rPr>
            </w:pPr>
            <w:r>
              <w:rPr>
                <w:b/>
                <w:sz w:val="20"/>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Capital contribution by non-controlling shareholders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5,000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Loans received from a third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15,006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Proceeds from issuance of 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156,197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25,873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52,501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7,469</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Proceeds from short-term bank borrowing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5,000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10,172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285</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Repayments of long-term bank borrowing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(500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(3,000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(4,700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(669</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Repayments of loan payable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(1,300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(20,087</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(2,716</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(386</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6140" w:type="dxa"/>
            <w:tcBorders/>
            <w:vAlign w:val="center"/>
          </w:tcPr>
          <w:p>
            <w:pPr>
              <w:pStyle w:val="TableContents"/>
              <w:bidi w:val="0"/>
              <w:spacing w:before="0" w:after="283"/>
              <w:jc w:val="left"/>
              <w:rPr>
                <w:b/>
                <w:sz w:val="20"/>
              </w:rPr>
            </w:pPr>
            <w:r>
              <w:rPr>
                <w:b/>
                <w:sz w:val="20"/>
              </w:rPr>
              <w:t>Net cash provided by financing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b/>
                <w:sz w:val="20"/>
              </w:rPr>
            </w:pPr>
            <w:r>
              <w:rPr>
                <w:b/>
                <w:sz w:val="20"/>
              </w:rPr>
              <w:t>179,403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12,958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47,085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6,699</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vAlign w:val="center"/>
          </w:tcPr>
          <w:p>
            <w:pPr>
              <w:pStyle w:val="TableContents"/>
              <w:bidi w:val="0"/>
              <w:spacing w:before="0" w:after="283"/>
              <w:jc w:val="left"/>
              <w:rPr>
                <w:sz w:val="20"/>
              </w:rPr>
            </w:pPr>
            <w:r>
              <w:rPr>
                <w:sz w:val="20"/>
              </w:rPr>
              <w:t>Net (decrease)/increase in cash and cash equivalents and restricted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29,885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(11,119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1,021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150</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Effects of exchange rate changes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446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(446</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(3,401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(359</w:t>
            </w:r>
          </w:p>
        </w:tc>
        <w:tc>
          <w:tcPr>
            <w:tcW w:w="15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6140" w:type="dxa"/>
            <w:tcBorders/>
            <w:vAlign w:val="center"/>
          </w:tcPr>
          <w:p>
            <w:pPr>
              <w:pStyle w:val="TableContents"/>
              <w:bidi w:val="0"/>
              <w:spacing w:before="0" w:after="283"/>
              <w:jc w:val="left"/>
              <w:rPr>
                <w:sz w:val="20"/>
              </w:rPr>
            </w:pPr>
            <w:r>
              <w:rPr>
                <w:sz w:val="20"/>
              </w:rPr>
              <w:t>Cash and cash equivalents and restricted cash at beginning of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5,908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36,239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24,674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3,381</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b/>
                <w:sz w:val="20"/>
              </w:rPr>
            </w:pPr>
            <w:r>
              <w:rPr>
                <w:b/>
                <w:sz w:val="20"/>
              </w:rPr>
              <w:t>Cash and cash equivalents and restricted cash at end of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36,239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24,674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22,294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3,172</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b/>
                <w:sz w:val="20"/>
              </w:rPr>
            </w:pPr>
            <w:r>
              <w:rPr>
                <w:b/>
                <w:sz w:val="20"/>
              </w:rPr>
              <w:t>Supplemental disclosures of non-cash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vAlign w:val="center"/>
          </w:tcPr>
          <w:p>
            <w:pPr>
              <w:pStyle w:val="TableContents"/>
              <w:bidi w:val="0"/>
              <w:spacing w:before="0" w:after="283"/>
              <w:jc w:val="left"/>
              <w:rPr>
                <w:sz w:val="20"/>
              </w:rPr>
            </w:pPr>
            <w:r>
              <w:rPr>
                <w:sz w:val="20"/>
              </w:rPr>
              <w:t>Right-of-use assets obtained in exchange for new operating lease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4,698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sz w:val="20"/>
              </w:rPr>
            </w:pPr>
            <w:r>
              <w:rPr>
                <w:sz w:val="20"/>
              </w:rPr>
              <w:t>-</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sz w:val="20"/>
              </w:rPr>
            </w:pPr>
            <w:r>
              <w:rPr>
                <w:sz w:val="20"/>
              </w:rPr>
              <w:t>Issue of share for right-of-use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3,428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b/>
                <w:sz w:val="20"/>
              </w:rPr>
            </w:pPr>
            <w:r>
              <w:rPr>
                <w:b/>
                <w:sz w:val="20"/>
              </w:rPr>
              <w:t>Supplemental disclosures cash flow information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sz w:val="20"/>
              </w:rPr>
            </w:pPr>
            <w:r>
              <w:rPr>
                <w:sz w:val="20"/>
              </w:rPr>
              <w:t>Interest payment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(1,004</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(143</w:t>
            </w:r>
          </w:p>
        </w:tc>
        <w:tc>
          <w:tcPr>
            <w:tcW w:w="155" w:type="dxa"/>
            <w:tcBorders/>
            <w:vAlign w:val="center"/>
          </w:tcPr>
          <w:p>
            <w:pPr>
              <w:pStyle w:val="TableContents"/>
              <w:bidi w:val="0"/>
              <w:spacing w:before="0" w:after="283"/>
              <w:jc w:val="left"/>
              <w:rPr>
                <w:sz w:val="20"/>
              </w:rPr>
            </w:pPr>
            <w:r>
              <w:rPr>
                <w:sz w:val="20"/>
              </w:rPr>
              <w:t>)</w:t>
            </w:r>
          </w:p>
        </w:tc>
      </w:tr>
      <w:tr>
        <w:trPr/>
        <w:tc>
          <w:tcPr>
            <w:tcW w:w="6140" w:type="dxa"/>
            <w:tcBorders/>
            <w:shd w:fill="CCEEFF" w:val="clear"/>
            <w:vAlign w:val="center"/>
          </w:tcPr>
          <w:p>
            <w:pPr>
              <w:pStyle w:val="TableContents"/>
              <w:bidi w:val="0"/>
              <w:spacing w:before="0" w:after="283"/>
              <w:jc w:val="left"/>
              <w:rPr>
                <w:sz w:val="20"/>
              </w:rPr>
            </w:pPr>
            <w:r>
              <w:rPr>
                <w:sz w:val="20"/>
              </w:rPr>
              <w:t>Income tax payment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b_005"/>
      <w:bookmarkEnd w:id="44"/>
      <w:r>
        <w:rPr>
          <w:rFonts w:ascii="Times New Roman;Times;Serif" w:hAnsi="Times New Roman;Times;Serif"/>
          <w:b/>
          <w:i w:val="false"/>
          <w:caps w:val="false"/>
          <w:smallCaps w:val="false"/>
          <w:sz w:val="20"/>
        </w:rPr>
        <w:t>U POWER LIMITED</w:t>
        <w:br/>
        <w:t>NOTES TO THE CONSOLIDATED FINANCIAL STATEMENTS</w:t>
        <w:br/>
        <w:t>(Amounts in thousands of RMB and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Nature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(the “Company”) was incorporated in the Cayman Islands on June 17, 2021, under the Cayman Islands Companies Law as an exempted company with limited liability. Anhui Yousheng New Energy Technology Group Co., Ltd. (“AHYS”, formerly known as “Shanghai Yousheng New Energy Technology Group Co. Ltd.”) was incorporated in the People’s Republic of China (the “PRC” or “China”) on May 16, 2013. AHYS, together with its subsidiaries (collectively, the “Operating Entities”) are principally engaged in the provision of: 1) new energy vehicles development and sales; 2) battery swapping stations manufacturing and sales; 3) battery swapping services; and 4) sourcing services (collectively, “Principal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preparation of its initial public offering (“IPO”) in the United States, the following transactions were undertaken to reorganize the legal structure of the Operating Entities. The Company was incorporated in connection with a group reorganization (the “Reorganization”) of the Operating Entities. On June 30, 2021, and January 5, 2022, the Company incorporated two wholly-owned subsidiaries, Youcang Limited (“Youcang”) and U Robur Limited (“U Robur BVI”) in British Virgin Islands, respectively. On July 19, 2021, Youcang incorporated a wholly-owned subsidiary, Energy U Limited (“Energy U”) in Hong Kong. On January 24, 2022, U Robur BVI incorporated a wholly-owned subsidiary, U Robur Limited (“U Robur HK”). On January 27, 2021, Energy U incorporated a wholly-owned subsidiary, Shandong Yousheng New Energy Technology Development Co, Ltd. (“WFOE”) 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2022, the Company, through WFOE, entered into an equity purchase agreement with AHYS and its then shareholders, through which the Company has become the ultimate primary beneficiary of AHYS. As all the entities involved in the process of the Reorganization are under common ownership of AHYS’s shareholders before and after the Reorganization, the Reorganization is accounted for in a manner similar to a pooling of interests with the assets and liabilities of the parties to the Reorganization carried over at their historical amounts. Therefore, the accompanying consolidated financial statements were prepared as if the corporate structure of the Company had been in existence since the beginning of the periods presented. The Company and its subsidiaries hereinafter are collectively referred to as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details of the Company’s principal subsidiaries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72"/>
        <w:gridCol w:w="90"/>
        <w:gridCol w:w="1569"/>
        <w:gridCol w:w="90"/>
        <w:gridCol w:w="1535"/>
        <w:gridCol w:w="90"/>
        <w:gridCol w:w="155"/>
        <w:gridCol w:w="1020"/>
        <w:gridCol w:w="245"/>
        <w:gridCol w:w="90"/>
        <w:gridCol w:w="3049"/>
      </w:tblGrid>
      <w:tr>
        <w:trPr/>
        <w:tc>
          <w:tcPr>
            <w:tcW w:w="2272"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Entity</w:t>
            </w:r>
          </w:p>
        </w:tc>
        <w:tc>
          <w:tcPr>
            <w:tcW w:w="90" w:type="dxa"/>
            <w:tcBorders/>
            <w:tcMar>
              <w:bottom w:w="0" w:type="dxa"/>
            </w:tcMar>
            <w:vAlign w:val="center"/>
          </w:tcPr>
          <w:p>
            <w:pPr>
              <w:pStyle w:val="TableContents"/>
              <w:bidi w:val="0"/>
              <w:spacing w:before="0" w:after="283"/>
              <w:jc w:val="left"/>
              <w:rPr/>
            </w:pPr>
            <w:r>
              <w:rPr/>
              <w:t> </w:t>
            </w:r>
          </w:p>
        </w:tc>
        <w:tc>
          <w:tcPr>
            <w:tcW w:w="1569"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w:t>
              <w:br/>
              <w:t>incorporation/</w:t>
              <w:br/>
              <w:t>acquisition</w:t>
            </w:r>
          </w:p>
        </w:tc>
        <w:tc>
          <w:tcPr>
            <w:tcW w:w="9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Place of</w:t>
              <w:br/>
              <w:t>incorporation</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br/>
              <w:t>of direct</w:t>
              <w:br/>
              <w:t>or indirect</w:t>
              <w:br/>
              <w:t>ownership</w:t>
              <w:br/>
              <w:t>by the</w:t>
              <w:br/>
              <w:t>Company</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9"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 activities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Subsidiaries:</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pPr>
            <w:r>
              <w:rPr/>
              <w:t> </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Youcang Limited (“Youcang”)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British Virgin Islands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Investment holding</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Energy U Limited (“Energy U”)</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19, 2021</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Hong Kong</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Investment holding</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Yousheng New Energy Technology Development Co, Ltd. (“WFOE”)</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27, 2022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technical and consultation services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Anhui Yousheng New Energy Co., Ltd (“AHYS”)</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16, 2013</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Dormant Company</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Youpin Automobile Service Group Co. Ltd. (“Youpin”)</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18, 2013</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new energy vehicles sales, battery swapping stations sales, battery swapping services and sourcing services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Shanghai Youchuangneng Digital Technology Co., Ltd. (“SY Digital Tech)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13, 2015</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new energy vehicles sales, battery swapping stations sales, battery swapping services and sourcing services</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Youguan Financial Leasing Co., Ltd. (“Youguan Financial Leasing”)</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27, 2017</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Dormant Company</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Youpin Automobile Service (Shandong) Co., Ltd. (“Youpin SD”)</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2020</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86.96</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new energy vehicles sales and sourcing services</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Chengdu Youyineng Automobile Service Co., Ltd. (“CD Youyineng”)</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29, 2020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battery swapping stations manufacturing</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Youteng Automobile Service Co., Ltd. (“SH Youteng”)</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3, 2020</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Dormant Company</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Liaoning Youguan New Energy Technology Co. Ltd. (“LY New Energy”)</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8, 2019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new energy vehicles sales and sourcing services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Youxu New Energy Technology Co., Ltd. (“SH Youxu”)</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22, 2021</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battery swapping stations sales and battery swapping services and two-wheeled vehicle battery-swapping services</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Quanzhou Youyi Power Exchange Network Technology Co., Ltd.  (“QZ Youyi”)</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29, 2021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battery swapping services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Youxu New Energy Technology (Zibo) Co., Ltd. (“Youxu Zibo”)</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29, 2021</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 swapping stations manufacturing</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Youxu (Xiamen) Power Exchange Network Technology Co., Ltd. (“Youxu XM”)</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10, 2021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battery swapping services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Wuhu Youxu New Energy Technology Co., Ltd. (“WH Youxu”)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12, 2021</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 swapping stations manufacturing</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Henan Youxu New Energy Technology Co., Ltd. (“HN Youxu”)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1, 2022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Dormant Company</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Youxu New Energy Technology (Nanyang) Co., Ltd. (“NY Youxu”)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14, 2023</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batter swapping stations manufacturing</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 SWAP CO LTD(“U SWAP”)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13, 2024</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new energy vehicles sales, battery swapping stations sales, battery swapping services and sourcing services</w:t>
            </w:r>
          </w:p>
        </w:tc>
      </w:tr>
      <w:tr>
        <w:trPr/>
        <w:tc>
          <w:tcPr>
            <w:tcW w:w="2272"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Greendrive Tech Co., Ltd (“Greendrive”)</w:t>
            </w:r>
          </w:p>
        </w:tc>
        <w:tc>
          <w:tcPr>
            <w:tcW w:w="90" w:type="dxa"/>
            <w:tcBorders/>
            <w:tcMar>
              <w:bottom w:w="0" w:type="dxa"/>
            </w:tcMar>
            <w:vAlign w:val="center"/>
          </w:tcPr>
          <w:p>
            <w:pPr>
              <w:pStyle w:val="TableContents"/>
              <w:bidi w:val="0"/>
              <w:spacing w:before="0" w:after="283"/>
              <w:jc w:val="left"/>
              <w:rPr/>
            </w:pPr>
            <w:r>
              <w:rPr/>
              <w:t> </w:t>
            </w:r>
          </w:p>
        </w:tc>
        <w:tc>
          <w:tcPr>
            <w:tcW w:w="156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5, 2025</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right"/>
              <w:rPr/>
            </w:pPr>
            <w:r>
              <w:rPr/>
              <w:t> </w:t>
            </w:r>
          </w:p>
        </w:tc>
        <w:tc>
          <w:tcPr>
            <w:tcW w:w="10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2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049" w:type="dxa"/>
            <w:tcBorders/>
            <w:tcMar>
              <w:bottom w:w="0" w:type="dxa"/>
            </w:tcM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Provision of new energy vehicles sales, battery swapping stations sales, battery swapping services and sourcing services</w:t>
            </w:r>
          </w:p>
        </w:tc>
      </w:tr>
      <w:tr>
        <w:trPr/>
        <w:tc>
          <w:tcPr>
            <w:tcW w:w="227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Shanghai Younengke New Energy Technology Co., Ltd (“SH Younengke”)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11, 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right"/>
              <w:rPr/>
            </w:pPr>
            <w:r>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of new energy vehicles sales, battery swapping stations sales, battery swapping services and sourcing services</w:t>
            </w:r>
          </w:p>
        </w:tc>
      </w:tr>
    </w:tbl>
    <w:p>
      <w:pPr>
        <w:pStyle w:val="TextBody"/>
        <w:bidi w:val="0"/>
        <w:spacing w:before="0" w:after="0"/>
        <w:ind w:left="0" w:right="0" w:firstLine="36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90"/>
        <w:gridCol w:w="311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Collectively, the “PRC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Initial Public Offering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in connection with its IPO in the United States, issued 2,416,667 ordinary shares with a par value of US$0.0000001 each (not giving effect to the 1-for-100 share consolidation effected on March 31, 2024 and the 1-for-10 share consolidation effected on April 1, 2026) with net proceeds from the IPO of approximately US$13,000,000.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Consolidation of 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the Company’s shareholders adopted an ordinary resolution to effect that every 100 ordinary shares with a par value of US$0.0000001 each in the Company’s issued and unissued share capital be consolidated into one ordinary share with a par value of US$0.00001 each, which became effective on March 31, 2024. During fiscal year 2025, the Company issued an aggregate of 159,329,600 ordinary shares with a par value of US$0.0000001 each on a pre-consolidation basis, equivalent to 1,593,296 ordinary shares with a par value of US$0.00001 each on a post-consolidation basis. As of December 31, 2025, the Company had approximately 4,971,484 ordinary shares with a par value of US$0.00001 each issued and outstanding on a post-consolidation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generally accepted accounting principles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Group include the financial statements of the Company and its subsidiaries for which the Company is the ultimate primary beneficiary.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 which the Company, directly or indirectly, controls more than one half of the voting power; has the power to appoint or remove the majority of the members of the board of directors (the “Board”); and to cast majority of votes at the meeting of the Board or to govern the financial and operating policies of the investee under a statute or agreement among the shareholders or equity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transactions and balances between the Company and its subsidiaries have been eliminated in consolidation. The non-controlling interests in consolidated subsidiaries are shown separately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accordance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Significant accounting estimates reflected in the Group’s consolidated financial statements mainly include the incremental borrowing rate used in the recognition of right-of-use assets and lease liabilities, allowance for expected credit loss, the useful lives of property, plant and equipment and intangible assets, contingent liabilities and valuation allowance for deferred tax assets. The Group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Any future changes to these estimates and assumptions could cause a material change to the Group’s reported amounts of revenues, expenses, assets and liabilities.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Functional currency and foreign currency translation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Renminbi (“RMB”) as its reporting currency. The functional currency of the Company and its overseas subsidiaries which incorporated in the Cayman Islands, British Virgin Islands and Thailand is US Dollar (“US$”). The functional currency of the Company’s subsidiaries which incorporated in Hong Kong is Hong Kong Dollar (“HK$”). The functional currency of the Company’s subsidiaries which incorporated in PRC is RMB.</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consolidated financial statements, the financial information of the Company and other entities located outside of PRC has been translated into RMB. Assets and liabilities are translated at the exchange rates on the balance sheet date, equity amounts are translated at historical exchange rates, and revenues, expenses, gains and losses are translated using the average rate for the periods. Translation adjustments are reported as foreign currency translation adjustments and are shown as a component of other comprehensive loss in the consolidated statements of operations and comprehensive income (loss). There was other comprehensive loss of RMB 446 and RMB 783(US$ 111) for the years ended December 31,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foreign currencies are re-measured into the functional currency at the exchange rates prevailing on the transaction dates. Financial assets and liabilities denominated in foreign currencies are re-measured into the functional currency at the exchange rates prevailing at the balance sheet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 Convenience translation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is primarily conducted in China and all of the revenues are denominated in RMB. However, periodic reports made to shareholders will include current period amounts translated into US dollars using the exchange rate as of balance sheet date, for the convenience of the readers. Translations of balances in the consolidated balance sheets, consolidated statements of comprehensive loss, change in equity and related consolidated statements of cash flows from RMB into US$ as of and for the year ended December 31, 2025 are solely for the convenience of the reader and were calculated at the rate of US$1.00 to RMB7.0288, representing the noon buying rate in The City of New York for cable transfers of RMB as certified for customs purposes by the Federal Reserve Bank of New York on December 31, 2025. No representation is made that the RMB amounts represent or could have been, or could be, converted, realized or settled into US$ at that rate on December 31, 2025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Non-controlling interest</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46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subsidiaries, a non-controlling interest is recognized to reflect the portion of their equity which is not attributable, directly or indirectly, to the Group. Consolidated net loss or income on the consolidated statements of operations includes the net loss or income attributable to non-controlling interests. Non-controlling interests are classified as a separate line item in the equity section of the Group’s consolidated balance sheets and have been separately disclosed in the Group’s consolidated statements of operations to distinguish the interests from that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represent cash on hand, time deposits and highly-liquid investments placed with banks or other financial institutions, which are unrestricted as to withdrawal and use, and which have original maturities of three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 Restricted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the cash that is not freely available to be spent nor re-invested to sustain future growth, which is legally or contractually restricted, or only to be used for a specified purpose. The restrictions can be permanent or temporary. Failure to use the asset according to agreed limitations will generate contractual or legal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Allowance for expected credit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advance to suppliers and other current assets are recognized at original invoiced amount. The Group measures all expected credit losses at the reporting date based on historical experience, current conditions, and reasonable and supportable forecasts. The Group reviews the accounts receivable, advance to suppliers and other current assets periodically, and recognizes the expected credit losses based on many factors, including the customer’s payment history, its current credit-worthiness and current economic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result of the Group’s estimation of collectability, the Group recognized RMB5,264 and RMB12,597 (US$ 1,792) of allowance for expected credit loss for the years ended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consisting of raw materials and products available for sale, are stated at the lower of cost or net realizable value. Cost of inventory are determined using the first-in-first-out method. The Group records inventory reserves for obsolete and slow-moving inventory. Inventory reserves are based on inventory obsolescence trends, historical experience and application of the specific identification method. There was no inventory impairment recognized for the years ended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 Property, plant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less accumulated depreciation and impairment loss, if any. Property, plant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 Within the property, plant and equipment, the value for construction in process is included within the manufacturing equipment.</w:t>
      </w:r>
    </w:p>
    <w:p>
      <w:pPr>
        <w:pStyle w:val="TextBody"/>
        <w:bidi w:val="0"/>
        <w:spacing w:before="0" w:after="0"/>
        <w:ind w:left="0" w:right="0" w:firstLine="360"/>
        <w:jc w:val="both"/>
        <w:rPr>
          <w:caps w:val="false"/>
          <w:smallCaps w:val="false"/>
        </w:rPr>
      </w:pPr>
      <w:r>
        <w:rPr>
          <w:caps w:val="false"/>
          <w:smallCaps w:val="false"/>
        </w:rPr>
        <w:t> </w:t>
      </w:r>
    </w:p>
    <w:tbl>
      <w:tblPr>
        <w:tblW w:w="4780" w:type="dxa"/>
        <w:jc w:val="left"/>
        <w:tblInd w:w="0" w:type="dxa"/>
        <w:tblLayout w:type="fixed"/>
        <w:tblCellMar>
          <w:top w:w="0" w:type="dxa"/>
          <w:left w:w="0" w:type="dxa"/>
          <w:bottom w:w="28" w:type="dxa"/>
          <w:right w:w="0" w:type="dxa"/>
        </w:tblCellMar>
      </w:tblPr>
      <w:tblGrid>
        <w:gridCol w:w="3440"/>
        <w:gridCol w:w="90"/>
        <w:gridCol w:w="1250"/>
      </w:tblGrid>
      <w:tr>
        <w:trPr/>
        <w:tc>
          <w:tcPr>
            <w:tcW w:w="344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Category</w:t>
            </w:r>
          </w:p>
        </w:tc>
        <w:tc>
          <w:tcPr>
            <w:tcW w:w="90" w:type="dxa"/>
            <w:tcBorders/>
            <w:tcMar>
              <w:bottom w:w="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Estimated </w:t>
              <w:br/>
              <w:t>useful life</w:t>
            </w:r>
          </w:p>
        </w:tc>
      </w:tr>
      <w:tr>
        <w:trPr/>
        <w:tc>
          <w:tcPr>
            <w:tcW w:w="34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 years</w:t>
            </w:r>
          </w:p>
        </w:tc>
      </w:tr>
      <w:tr>
        <w:trPr/>
        <w:tc>
          <w:tcPr>
            <w:tcW w:w="344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Manufacturing equipment</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 – 10 years</w:t>
            </w:r>
          </w:p>
        </w:tc>
      </w:tr>
      <w:tr>
        <w:trPr/>
        <w:tc>
          <w:tcPr>
            <w:tcW w:w="34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Computer and electronic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 – 5 years</w:t>
            </w:r>
          </w:p>
        </w:tc>
      </w:tr>
      <w:tr>
        <w:trPr/>
        <w:tc>
          <w:tcPr>
            <w:tcW w:w="344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equipment</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 4 years</w:t>
            </w:r>
          </w:p>
        </w:tc>
      </w:tr>
      <w:tr>
        <w:trPr/>
        <w:tc>
          <w:tcPr>
            <w:tcW w:w="34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Motor vehicles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 – 4 years</w:t>
            </w:r>
          </w:p>
        </w:tc>
      </w:tr>
    </w:tbl>
    <w:p>
      <w:pPr>
        <w:pStyle w:val="TextBody"/>
        <w:bidi w:val="0"/>
        <w:spacing w:before="0" w:after="0"/>
        <w:ind w:left="0" w:right="0" w:firstLine="50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 Intangible assets,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carried at cost less accumulated amortization and impairment, if any. Intangible assets are amortized using the straight-line method over the estimated useful lives from 3 to 5 years. The estimated useful lives of amortized intangible assets are reassessed if circumstances occur that indicate the original estimated useful lives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 Impairment of long-lived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its long-lived assets, including property, plant and equipment, software and right-of-use assets with finite lives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recoverability of long-lived assets by comparing the carrying amounts of the assets to the future undiscounted cash flows expected to result from the use of the assets and their eventual disposition. If the sum of the expected undiscounted cash flows is less than the carrying amounts of the assets, the Group recognizes an impairment loss based on the excess of the carrying amounts of the assets over their fair value. Fair value is generally determined by discounting the cash flows expected to be generated by the assets, when the market prices are not readily available. The Group recognized nil and nil of impairment on fixed assets for the years ended December 31, 2024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 Long-term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long-term investments mainly include equity investments in entities. Investments in entities in which the Group can exercise significant influence and holds an investment in voting common stock or in-substance common stock (or both) of the investee but does not own a majority equity interest or control are accounted for using the equity method of accounting in accordance with ASC topic 323, </w:t>
      </w:r>
      <w:r>
        <w:rPr>
          <w:rFonts w:ascii="Times New Roman;Times;Serif" w:hAnsi="Times New Roman;Times;Serif"/>
          <w:b w:val="false"/>
          <w:i/>
          <w:caps w:val="false"/>
          <w:smallCaps w:val="false"/>
          <w:sz w:val="20"/>
        </w:rPr>
        <w:t>Investments - Equity Method and Joint Ventures (“ASC 323”)</w:t>
      </w:r>
      <w:r>
        <w:rPr>
          <w:rFonts w:ascii="Times New Roman;Times;Serif" w:hAnsi="Times New Roman;Times;Serif"/>
          <w:b w:val="false"/>
          <w:i w:val="false"/>
          <w:caps w:val="false"/>
          <w:smallCaps w:val="false"/>
          <w:sz w:val="20"/>
        </w:rPr>
        <w:t>.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 The Group recognized RMB10,503 and nil of impairment on long-term investments for the years ended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 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05"/>
        <w:gridCol w:w="9232"/>
      </w:tblGrid>
      <w:tr>
        <w:trPr/>
        <w:tc>
          <w:tcPr>
            <w:tcW w:w="6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1 -</w:t>
            </w:r>
          </w:p>
        </w:tc>
        <w:tc>
          <w:tcPr>
            <w:tcW w:w="92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Observable inputs that reflect quoted prices (unadjusted) for identical assets or liabilities in active markets.</w:t>
            </w:r>
          </w:p>
        </w:tc>
      </w:tr>
    </w:tbl>
    <w:p>
      <w:pPr>
        <w:pStyle w:val="TextBody"/>
        <w:bidi w:val="0"/>
        <w:spacing w:before="0" w:after="0"/>
        <w:ind w:left="0" w:right="0" w:firstLine="36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68"/>
        <w:gridCol w:w="905"/>
        <w:gridCol w:w="6905"/>
      </w:tblGrid>
      <w:tr>
        <w:trPr/>
        <w:tc>
          <w:tcPr>
            <w:tcW w:w="6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2 -</w:t>
            </w:r>
          </w:p>
        </w:tc>
        <w:tc>
          <w:tcPr>
            <w:tcW w:w="6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inputs that are directly or indirectly observable in the marketplace.</w:t>
            </w:r>
          </w:p>
        </w:tc>
      </w:tr>
    </w:tbl>
    <w:p>
      <w:pPr>
        <w:pStyle w:val="TextBody"/>
        <w:bidi w:val="0"/>
        <w:spacing w:before="0" w:after="0"/>
        <w:ind w:left="0" w:right="0" w:firstLine="36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68"/>
        <w:gridCol w:w="905"/>
        <w:gridCol w:w="6860"/>
      </w:tblGrid>
      <w:tr>
        <w:trPr/>
        <w:tc>
          <w:tcPr>
            <w:tcW w:w="6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3 -</w:t>
            </w:r>
          </w:p>
        </w:tc>
        <w:tc>
          <w:tcPr>
            <w:tcW w:w="6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Unobservable inputs which are supported by little or no market activity.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 of cash and cash equivalents, accounts receivable, amounts due from related parties, deposits and other receivables, accounts payable, amounts due to related parties, other payables, short-term bank and other borrowings and loan payables. As of December 31, 2025, the carrying values of these financial instruments are approximated to their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from Contracts with Customers, the Group recognizes revenue when a customer obtains control of promised goods or services and recognizes in an amount that reflects the consideration which the entity expects to receive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revenue according to the following five-step revenue recognition criteria based on ASC 606: (1) identify the contract with a customer; (2) identify the performance obligations in the contract; (3) determine the transaction price; (4) allocate the transaction price; and (5) recognize revenue when or as the entity satisfies a performance obligation.</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firstLine="50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revenue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pStyle w:val="TextBody"/>
        <w:bidi w:val="0"/>
        <w:spacing w:before="0" w:after="0"/>
        <w:ind w:left="0" w:right="0" w:firstLine="36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30"/>
        <w:gridCol w:w="68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provides all of the benefits received and consumed simultaneously by the customer;</w:t>
            </w:r>
          </w:p>
        </w:tc>
      </w:tr>
    </w:tbl>
    <w:p>
      <w:pPr>
        <w:pStyle w:val="TextBody"/>
        <w:bidi w:val="0"/>
        <w:spacing w:before="0" w:after="0"/>
        <w:ind w:left="0" w:right="0" w:firstLine="36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68"/>
        <w:gridCol w:w="290"/>
        <w:gridCol w:w="669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creates and enhances an asset that the customer controls as the Group performs;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create an asset with an alternative use to the Group and the Group has an enforceable right to payment for performance completed to date. 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either party to a contract has performed, the Group presents the contract in the consolidated balance sheets as a contract asset or a contract liability, depending on the relationship between the entity’s performance and the customer’s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the Group’s revenues, in absolute amounts and percentages of total revenues for the years presented: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0"/>
        <w:gridCol w:w="90"/>
        <w:gridCol w:w="90"/>
        <w:gridCol w:w="710"/>
        <w:gridCol w:w="90"/>
        <w:gridCol w:w="90"/>
        <w:gridCol w:w="90"/>
        <w:gridCol w:w="590"/>
        <w:gridCol w:w="90"/>
        <w:gridCol w:w="90"/>
        <w:gridCol w:w="90"/>
        <w:gridCol w:w="710"/>
        <w:gridCol w:w="90"/>
        <w:gridCol w:w="90"/>
        <w:gridCol w:w="90"/>
        <w:gridCol w:w="590"/>
        <w:gridCol w:w="90"/>
        <w:gridCol w:w="90"/>
        <w:gridCol w:w="90"/>
        <w:gridCol w:w="710"/>
        <w:gridCol w:w="90"/>
        <w:gridCol w:w="90"/>
        <w:gridCol w:w="90"/>
        <w:gridCol w:w="590"/>
        <w:gridCol w:w="90"/>
        <w:gridCol w:w="90"/>
        <w:gridCol w:w="90"/>
        <w:gridCol w:w="590"/>
        <w:gridCol w:w="135"/>
      </w:tblGrid>
      <w:tr>
        <w:trPr/>
        <w:tc>
          <w:tcPr>
            <w:tcW w:w="3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35"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Sourcing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35" w:type="dxa"/>
            <w:tcBorders/>
            <w:shd w:fill="CCEEFF" w:val="clear"/>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w:t>
            </w:r>
          </w:p>
        </w:tc>
        <w:tc>
          <w:tcPr>
            <w:tcW w:w="135"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Battery-swapping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Two-wheeled vehicle battery-swapping services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35"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Sourcing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 from the vehicle sourcing business and battery sourcing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to battery sourcing business, the Group acts as a principal as of being able to fully control relevant risks and benefits during the whole business, indicated by that can decide the selling price, has a right to recall the product and cease the transaction, and bear relevant risk of damage and loss prior to the delivery of battery to the customer. The sales of battery sourcing revenues are recognized on a gross basis at a point in time when the control of the battery pack is transferred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vehicle sourcing business, the Group charges service fees from its customers for their purchase of vehicles, where the Group is generally acting as an agent and its performance obligation is to purchase the specified vehicles for its customers. The Group charges the customers a commission that is calculated based on the purchase price of each purchase order. Vehicle sourcing service revenues are recognized on a net basis at the point in time when the service of purchase of the specified vehicles for the Group’s customers is completed, i.e., the specified vehicle for the Group’s customers is delivered. Payments are typically received in advance and are accounted for as contract liabilities until delivery, at which point the receipt in advance from customers is offset with the prepayment to the supplier and the difference representing the commission is recognized as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revenues from sales of battery swapping stations. The Group identifies the users who purchase battery swapping stations as its customers. The revenue for battery swapping station sales is recognized at a point in time when the control of the product is transferred to the customer.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Battery swapping services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generates revenues from providing battery swapping services to vehicle drivers and the station control system upgrading services to the battery-swapping station owners. The Group identifies the vehicle drivers who need the services of battery swapping and the owners of battery swapping station that the Group has sold to who have demand for the station control system upgrading services as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charges the battery swapping service fees from its customers based on vehicle miles traveled. However, as usually, the swapped battery will be immediately used after the payment by customers for driving and the power consumption of vehicles will be fast, the Group ignores the time interval between the timing of payment in advance by customers and the usage life of the swapped battery. The revenue generated from battery swapping services to vehicle drivers is recognized at a point in time when the Group received the payment from vehicle drivers.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generated from the station control system upgrading service is recognized over time based on a straight-line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Two-wheeled vehicle battery-swapping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providing battery swap cabinets, two-wheeled vehicle drivers can perform self-service battery swaps. We charge the drivers a certain amount as revenue from the rent of battery.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charges the battery-swapping services fee for battery providing to its customers based on the service time. The Two-wheeled vehicle Battery-swapping Services recognized revenue by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of battery-swapping stations primarily includes semi-finished goods purchased from suppliers, labor costs and manufacturing including depreciation of assets associated with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 Sales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(i) compensation to selling personnel, including the salaries, performance-based bonus, and other benefits; (ii) travel cost related to the sales and marketing function; (iii) advertising, marketing and brand promotion expenses; and (iv) other expenses in relation to the selling and marketing activities. Advertising expenses consist primarily of costs for the promotion of corporate image and product marketing. The Group expenses all advertising costs of RMB 579 (US$82) as incurred and classifies these costs under 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directly associated with research and development organization. The Group’s research and development expenses are related to enhancing and developing UOTTA technology for its existing products and new product development. The Group expenses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bonuses and benefits for employees involved in general corporate functions, and those not specifically dedicated to research and development activities, such as depreciation and amortization of fixed assets which are not used in research and development activities, legal and other professional services fees, rental and other general corporate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 Employee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of the Group make contributions to the government for these benefits based on certain percentages of the employees’ salaries, up to a maximum amount specified by the local government. The Group has no legal obligation for the benefits beyond the contributions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 Government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PRC-based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operating income upon receipt as further performance by the Group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provided on the basis of income/(loss) for financial reporting purposes, adjusted for income and expense items which are not assessable or deductible for income tax purposes, in accordance with the regulations of the relevant tax jurisdictions. Deferred income taxes are provided using the assets and liabilities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purposes. The effect on deferred taxes of a change in tax rates is recognized in the consolidated statement of income and comprehensive income in the period of change. A valuation allowance is provided to reduce the amount of deferred tax assets if it is considered more-likely-than-not that some portion of, or all of the deferred tax assets will not be realized.</w:t>
      </w:r>
    </w:p>
    <w:p>
      <w:pPr>
        <w:pStyle w:val="TextBody"/>
        <w:bidi w:val="0"/>
        <w:spacing w:before="0" w:after="0"/>
        <w:ind w:left="0" w:right="0" w:firstLine="4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a valuation allowance when, in the opinion of management, it is more likely than not that some portion or all of the deferred tax assets will not be realized. 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considers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Value added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represents the invoiced value of goods and services, net of value added tax (“VAT”). The VAT is based on gross sales price with VAT rates of 6% and 13%, depending on the type of products sold or service provided. Entities that are VAT general taxpayers are allowed to offset qualified input VAT paid to suppliers against their output VAT liabilities. Net VAT balance between input VAT and output VAT is recorded in taxes payable. All of the VAT returns filed by the Company’s subsidiaries in PRC remain subject to examination by the tax authorities for five years from the date of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provisions of ASC topic 740 (“ASC 740”), Accounting for Income Taxes, to account for uncertainty in income taxes. ASC 740 prescribes a recognition threshold a tax position is required to meet before being recognized in the financial statements. The benefit of a tax position is recognized if a tax return position or future tax position is “more likely than not” to be sustained under examination based solely on the technical merits of the position. Tax positions that meet the “more likely than not” recognition threshold is measured, using a cumulative probability approach, at the largest amount of tax benefit that has a greater than fifty percent likelihood of being realized upon settlement. The estimated liability for unrecognized tax benefits is periodically assessed for adequacy and may be affected by changing interpretations of laws, rulings by tax authorities, changes and or developments with respect to tax audits, and the expiration of the statute of limitations. Additionally, in future periods, changes in facts and circumstances, and new information may require the Group to adjust the recognition and measurement of estimates with regards to changes in individual tax position. Changes in recognition and measurement of estimates are recognized in the period in which the change occurs.</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operating subsidiaries in PRC are subject to examination by the relevant tax authorities.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RMB100 (US$15). In the case of transfer pricing issues, the statute of limitation is ten years. There is no statute of limitation in the case of tax evasion. Penalties and interests incurred related to underpayment of income tax are classified as income tax expense in the period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adopted FASB Accounting Standard Codification Topic 220 (“ASC 220”) “Comprehensive income”, which establishes standards for reporting and the presentation of comprehensive income (loss), its components and accumulated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RMB446 and RMB4,231 (US$602) other comprehensive loss for the years ended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lease under ASC Topic 842, Leases. The Group determines if an arrangement is or contains a lease at inception. Right-of-use assets and liabilities are recognized at lease commencement date based on the present value of remaining lease payments over the lease terms. The Group considers only payments that are fixed and determinable at the time of lease commencement.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the lease liability is recognized at the present value of the lease payments not yet paid, discounted using the interest rate implicit in the lease or, if that rate cannot be readily determined, the Group’s incremental borrowing rate for the same term as the underlying lease. The right-of-use asset is recognized initially at cost, which primarily comprises the initial amount of the lease liability, plus any initial direct costs incurred. All right-of-use assets are reviewed for impairment annually. There was no impairment for right-of-use lease assets as of December 31, 2024 and 2025. The Group recorded a loss on lease termination of right-of-use assets of nil for the years ended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 are included within “right-of-use assets - operating lease”, and the corresponding operating lease liabilities are included within “operating lease liabilities” on the consolidated balance sheets as of December 31,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(z) Commitments and contingencies</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pStyle w:val="TextBody"/>
        <w:bidi w:val="0"/>
        <w:spacing w:before="0" w:after="0"/>
        <w:ind w:left="0" w:right="0" w:firstLine="4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loss is incurred and the amount of the liability can be estimated, then the estimated liability is accrued in the consolidated financial statements. If the assessment indicates that a potential loss contingency is not probable, but is reasonably possible, or is probable but cannot be estimated, then the nature of the contingent liability, together with an estimate of the range of possible loss, if determinable and material, would be disclosed.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nil and RMB5,800(US$825) of commitments and contingencies as of the years ended December 31, 2024 and 2025, respectively.</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(aa) 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(“ASC 280”), establishes standards for companies to report in their financial statement information about operating segments, products, services, geographic areas, and major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criteria established by ASC 280, the Company’s chief operating decision maker (“CODM”) has been identified as the Company’s Chief Executive Officer, who reviews consolidated results when making decisions about allocating resources and assessing performance of the Company. As a whole and hence, the Company has only one reportable segment. The Company does not distinguish between markets or segments for the purpose of internal reporting. As the Company’s long-lived assets are substantially located in the PRC, no geographical segments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 Recent adopted standards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No. 2016-13, “Financial Instruments – Credit Losses”, which will require the measurement of all allowance for expected credit losses for financial assets held at the reporting date based on historical experience, current conditions, and reasonable and supportable forecasts. Subsequently, the FASB issued ASU No. 2018-19, Codification Improvements to Topic 326, to clarify that receivables arising from operating leases are within the scope of lease accounting standards. Further, the FASB issued ASU No. 2019-04, ASU 2019-05, ASU 2019-10, ASU 2019-11 and ASU 2020-02 to provide additional guidance on the credit losses standard, which defers the effective date of ASU No. 2016-13 for smaller reporting companies to fiscal years beginning after December 15, 2023, including interim periods within those fiscal years. The impact of the adoption on the consolidated balance sheets, statements of operations, and statements of cash flows was immaterial.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 Recent accounting pronouncements</w:t>
      </w:r>
    </w:p>
    <w:p>
      <w:pPr>
        <w:pStyle w:val="TextBody"/>
        <w:bidi w:val="0"/>
        <w:spacing w:before="0" w:after="0"/>
        <w:ind w:left="28" w:right="0" w:firstLine="4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FASB issued ASU 2023-03 Fair Value Measurement (Topic 820): Fair Value Measurement of Equity Securities Subject to Contractual Sale Restrictions. The update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update are effective for the Group beginning January 1, 2024 on a prospective basis. Early adoption is permitted for both interim and annual financial statements that have not yet been issued or made available for issuance. The Group does not expect that the adoption of this guidance will have a material impact on its financial position,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Improvements to Reportable Segment Disclosures (“ASU 2023-07”), which focuses on improving reportable segment disclosure requirements, primarily through enhanced disclosures about significant segment expenses. A public entity shall disclose for each reportable segment the significant expense categories and amounts that are regularly provided to the CODM and included in reported segment profit or loss. ASU 2023-07 also requires public entities to provide in interim periods all disclosures about a reportable segment’s profit or loss and assets that are currently required annually. Entities are permitted to disclose more than one measure of a segment’s profit or loss if such measures are used by the CODM to allocate resources and assess performance, as long as at least one of those measures is determined in a way that is most consistent with the measurement principles used to measure the corresponding amounts in the consolidated financial statements. ASU 2023-07 is applied retrospectively to all periods presented in financial statements, unless it is impracticable. This update will be effective for the Group’s fiscal years beginning after December 15, 2024, and interim periods within fiscal years beginning after December 15, 2024. Early adoption is permitted. The Group is currently in the process of evaluating the disclosure impact of adopting ASU 2023-07.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Improvements to Income Tax Disclosures (Topic 740). The ASU requires specific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consolidated financial statements, once adopted. The Company is in the process of evaluating the impact of the new guidance and does not expect it to have a significant impact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Group reported a net loss of RMB80,478 (US$11,449), negative operating cash flows of RMB69,894 (US$9,941) and accumulated deficit of RMB289,818 (US$41,233). These conditions raise substantial doubt about the Group’s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Group’s liquidity, the Group monitors and analyzes its cash on-hand and its operating and capital expenditure commitments. The Group’s liquidity needs are to meet its working capital requirements, operating expenses and capital expenditure obligations. Cash generated from operating activities and commercial bank loans, together with the net proceeds from the 2025 follow-on offering, have been utilized to meet the Group’s working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Group’s cash and cash equivalents and restricted cash were RMB24,674 and RMB22,294 (US$3,172), respectively, and the Group’s restricted cash were RMB1,239 and RMB343 (US$49), respectively. The Group’s cash and cash equivalents primarily consist of cash on hand and highly liquid investments placed with banks, which are unrestricted to withdrawal and use and which have original maturities of three months or 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that the substantial doubt of its ability to continue as going concern is alleviated based on the proceeds received from investors and anticipated increase in cash generated from operations. Meanwhile, on an on-going basis, the Group also has received the financial support commitments from the Company’s key management to enable the Group to meet its other liabilities and commitments. The Group received an additional net capital injection of US$52,501. The Group believes its existing cash and cash equivalents, anticipated cash raised from financings, and anticipated cash flow from operations, will be sufficient to meet its anticipated cash needs for the next 12 months from the date of this report. The exact amount of proceeds the Group will use for its operations and expansion plans will depend on the amount of cash generated from its operations and any strategic decisions the Group may make that could alter its expansion plans and the amount of cash necessary to fund these plans.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believes that the Group will continue as a going concern in the following 12 months from the date the Group’s 2025 consolidated financial statements are issued. The accompanying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0" w:after="0"/>
        <w:ind w:left="0" w:right="0" w:firstLine="39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CONCENTRATION OF RISKS</w:t>
      </w:r>
    </w:p>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Political, social and economic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Interest rate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 on its interest-bearing assets and liabilities. As part of its asset and liability risk management, the Group reviews and takes appropriate steps to manage its interest rate exposure on its interest-bearing assets and liabilities. The Group has not been exposed to material risks due to changes in market interest rates, and has not used any derivative financial instruments to manage the interest risk exposure during the years presented.</w:t>
      </w:r>
    </w:p>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Group to significant concentrations of credit risk consist primarily of cash. As of December 31, 2024 and 2025, approximately RMB24,674 and RMB20,415 (US$2,905) were deposited with financial institutions located in the PRC, respectively, where there is a RMB 500 deposit insurance limit for a legal entity’s aggregated balance at each bank. While the Group believes that these financial institutions are of high credit quality, it also continually monitors their credit worthiness.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also exposed to risk from its accounts receivable and other receivables. These assets are subjected to credit evaluations. An allowance has been made for estimated unrecoverable amounts which have been determined by reference to past default experience and the current economic environment.</w:t>
      </w:r>
    </w:p>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Currency convertibility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the Group’s operating activities are settled in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requires submitting a payment application form together with supporting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ACCOUNTS RECEIVABLE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the allowance for expected credit loss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3815"/>
        <w:gridCol w:w="90"/>
        <w:gridCol w:w="90"/>
        <w:gridCol w:w="710"/>
        <w:gridCol w:w="125"/>
        <w:gridCol w:w="90"/>
        <w:gridCol w:w="90"/>
        <w:gridCol w:w="710"/>
        <w:gridCol w:w="125"/>
        <w:gridCol w:w="90"/>
        <w:gridCol w:w="90"/>
        <w:gridCol w:w="590"/>
        <w:gridCol w:w="17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3,578</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expected credit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22,198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3,158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all accounts receivable were due from third-party customers. There is RMB1,601 and RMB2,948 (US$420) allowance for expected credit loss recognized as of the years ended December 31, 2024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 of expected credit loss was as follows:</w:t>
      </w:r>
    </w:p>
    <w:p>
      <w:pPr>
        <w:pStyle w:val="TextBody"/>
        <w:bidi w:val="0"/>
        <w:spacing w:before="0" w:after="0"/>
        <w:ind w:left="0" w:right="0" w:hanging="0"/>
        <w:jc w:val="left"/>
        <w:rPr>
          <w:caps w:val="false"/>
          <w:smallCaps w:val="false"/>
        </w:rPr>
      </w:pPr>
      <w:r>
        <w:rPr>
          <w:caps w:val="false"/>
          <w:smallCaps w:val="false"/>
        </w:rPr>
        <w:t> </w:t>
      </w:r>
    </w:p>
    <w:tbl>
      <w:tblPr>
        <w:tblW w:w="5495" w:type="dxa"/>
        <w:jc w:val="left"/>
        <w:tblInd w:w="0" w:type="dxa"/>
        <w:tblLayout w:type="fixed"/>
        <w:tblCellMar>
          <w:top w:w="0" w:type="dxa"/>
          <w:left w:w="0" w:type="dxa"/>
          <w:bottom w:w="0" w:type="dxa"/>
          <w:right w:w="0" w:type="dxa"/>
        </w:tblCellMar>
      </w:tblPr>
      <w:tblGrid>
        <w:gridCol w:w="2720"/>
        <w:gridCol w:w="90"/>
        <w:gridCol w:w="90"/>
        <w:gridCol w:w="665"/>
        <w:gridCol w:w="125"/>
        <w:gridCol w:w="90"/>
        <w:gridCol w:w="90"/>
        <w:gridCol w:w="665"/>
        <w:gridCol w:w="125"/>
        <w:gridCol w:w="90"/>
        <w:gridCol w:w="90"/>
        <w:gridCol w:w="485"/>
        <w:gridCol w:w="170"/>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70"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the beginning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(1,601</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(2,948</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w:t>
            </w:r>
          </w:p>
        </w:tc>
        <w:tc>
          <w:tcPr>
            <w:tcW w:w="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INVENTORIES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300"/>
        <w:gridCol w:w="90"/>
        <w:gridCol w:w="90"/>
        <w:gridCol w:w="515"/>
        <w:gridCol w:w="110"/>
        <w:gridCol w:w="90"/>
        <w:gridCol w:w="90"/>
        <w:gridCol w:w="620"/>
        <w:gridCol w:w="90"/>
        <w:gridCol w:w="90"/>
        <w:gridCol w:w="90"/>
        <w:gridCol w:w="515"/>
        <w:gridCol w:w="135"/>
      </w:tblGrid>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Raw materials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Low value consumables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Finished goods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895</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inventory impairment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nil and nil of reserve of inventory for the years ended December 31, 2024 and 2025, respectively. The impairment is due to the fact that inventory is obsolete and no longer sellable.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ADVANCE TO SUPPLIERS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7130" w:type="dxa"/>
        <w:jc w:val="left"/>
        <w:tblInd w:w="0" w:type="dxa"/>
        <w:tblLayout w:type="fixed"/>
        <w:tblCellMar>
          <w:top w:w="0" w:type="dxa"/>
          <w:left w:w="0" w:type="dxa"/>
          <w:bottom w:w="0" w:type="dxa"/>
          <w:right w:w="0" w:type="dxa"/>
        </w:tblCellMar>
      </w:tblPr>
      <w:tblGrid>
        <w:gridCol w:w="4085"/>
        <w:gridCol w:w="90"/>
        <w:gridCol w:w="90"/>
        <w:gridCol w:w="710"/>
        <w:gridCol w:w="125"/>
        <w:gridCol w:w="90"/>
        <w:gridCol w:w="90"/>
        <w:gridCol w:w="710"/>
        <w:gridCol w:w="125"/>
        <w:gridCol w:w="90"/>
        <w:gridCol w:w="90"/>
        <w:gridCol w:w="665"/>
        <w:gridCol w:w="170"/>
      </w:tblGrid>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7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 to suppliers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2,942</w:t>
            </w:r>
          </w:p>
        </w:tc>
        <w:tc>
          <w:tcPr>
            <w:tcW w:w="170"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expected credit losses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(1,329</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1,613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year ended December 31, 2024 and 2025, the balance of advance to suppliers mainly represented the prepayments in relation to the development of vehicle sourcing, and purchase of battery swapping stations. An analysis of the expected credit losses was as follows:</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5465"/>
        <w:gridCol w:w="90"/>
        <w:gridCol w:w="90"/>
        <w:gridCol w:w="665"/>
        <w:gridCol w:w="125"/>
        <w:gridCol w:w="90"/>
        <w:gridCol w:w="90"/>
        <w:gridCol w:w="665"/>
        <w:gridCol w:w="125"/>
        <w:gridCol w:w="90"/>
        <w:gridCol w:w="90"/>
        <w:gridCol w:w="665"/>
        <w:gridCol w:w="170"/>
      </w:tblGrid>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(8,472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(8,323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(1,140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vAlign w:val="center"/>
          </w:tcPr>
          <w:p>
            <w:pPr>
              <w:pStyle w:val="TableContents"/>
              <w:bidi w:val="0"/>
              <w:spacing w:before="0" w:after="283"/>
              <w:jc w:val="left"/>
              <w:rPr/>
            </w:pPr>
            <w:r>
              <w:rPr/>
              <w:t>(Additional allowance)/reversal for expected credit losses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(1,020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(189</w:t>
            </w:r>
          </w:p>
        </w:tc>
        <w:tc>
          <w:tcPr>
            <w:tcW w:w="170" w:type="dxa"/>
            <w:tcBorders/>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Balance 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(9,343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(1,329</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CURRENT AND NONCURRENT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4085"/>
        <w:gridCol w:w="90"/>
        <w:gridCol w:w="90"/>
        <w:gridCol w:w="710"/>
        <w:gridCol w:w="125"/>
        <w:gridCol w:w="90"/>
        <w:gridCol w:w="90"/>
        <w:gridCol w:w="785"/>
        <w:gridCol w:w="125"/>
        <w:gridCol w:w="90"/>
        <w:gridCol w:w="90"/>
        <w:gridCol w:w="665"/>
        <w:gridCol w:w="170"/>
      </w:tblGrid>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7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Value-added tax recoverable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w:t>
            </w:r>
          </w:p>
        </w:tc>
        <w:tc>
          <w:tcPr>
            <w:tcW w:w="170"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to third parties (i)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2,895</w:t>
            </w:r>
          </w:p>
        </w:tc>
        <w:tc>
          <w:tcPr>
            <w:tcW w:w="17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170"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Staff advances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17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w:t>
            </w:r>
          </w:p>
        </w:tc>
        <w:tc>
          <w:tcPr>
            <w:tcW w:w="170"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expected credit losses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2,556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 January 2023, LY New Energy, Youpin, Youxu Zibo and HN Youxu, respectively, entered into a one-year loan agreement signed annually with Shanghai Huazhen Construction Engineering Co., Ltd (“SH Huazhen”), pursuant to which LY New Energy, Youpin, Youxu Zibo and HN Youxu were entitled to lend a total loan amount of RMB12,560 (US$1,769) with free interest rate for working capital needs of SH Huazhen. As of December 31, 2025, the balance has been fully provided for impairment.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Youguan Financial Leasing entered into a one-year loan agreement with Cao Yue, Gong Hua and He Guangquan for revolving loan quota, each quota of RMB2.4 million, pursuant to which Youguan Financial Leasing were entitled to lend a total loan amount of RMB7.2 million with free interest rate. As of December 31, 2025, the loan balance is RMB1,197 (US$170).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analysis of the expected credit losses was as follows:</w:t>
      </w:r>
    </w:p>
    <w:p>
      <w:pPr>
        <w:pStyle w:val="TextBody"/>
        <w:bidi w:val="0"/>
        <w:spacing w:before="0" w:after="0"/>
        <w:ind w:left="0" w:right="0" w:firstLine="360"/>
        <w:jc w:val="both"/>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3965"/>
        <w:gridCol w:w="90"/>
        <w:gridCol w:w="90"/>
        <w:gridCol w:w="665"/>
        <w:gridCol w:w="125"/>
        <w:gridCol w:w="90"/>
        <w:gridCol w:w="90"/>
        <w:gridCol w:w="785"/>
        <w:gridCol w:w="125"/>
        <w:gridCol w:w="90"/>
        <w:gridCol w:w="90"/>
        <w:gridCol w:w="665"/>
        <w:gridCol w:w="170"/>
      </w:tblGrid>
      <w:tr>
        <w:trPr/>
        <w:tc>
          <w:tcPr>
            <w:tcW w:w="3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Balance at beginning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(2,488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(6,337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(868</w:t>
            </w:r>
          </w:p>
        </w:tc>
        <w:tc>
          <w:tcPr>
            <w:tcW w:w="170" w:type="dxa"/>
            <w:tcBorders/>
            <w:shd w:fill="CCEEFF" w:val="clear"/>
            <w:vAlign w:val="center"/>
          </w:tcPr>
          <w:p>
            <w:pPr>
              <w:pStyle w:val="TableContents"/>
              <w:bidi w:val="0"/>
              <w:spacing w:before="0" w:after="283"/>
              <w:jc w:val="left"/>
              <w:rPr/>
            </w:pPr>
            <w:r>
              <w:rPr/>
              <w:t>)</w:t>
            </w:r>
          </w:p>
        </w:tc>
      </w:tr>
      <w:tr>
        <w:trPr/>
        <w:tc>
          <w:tcPr>
            <w:tcW w:w="3965" w:type="dxa"/>
            <w:tcBorders/>
            <w:vAlign w:val="center"/>
          </w:tcPr>
          <w:p>
            <w:pPr>
              <w:pStyle w:val="TableContents"/>
              <w:bidi w:val="0"/>
              <w:spacing w:before="0" w:after="283"/>
              <w:jc w:val="left"/>
              <w:rPr/>
            </w:pPr>
            <w:r>
              <w:rPr/>
              <w:t>Additional allowance charged to expense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(3,849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(10,231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(1,489</w:t>
            </w:r>
          </w:p>
        </w:tc>
        <w:tc>
          <w:tcPr>
            <w:tcW w:w="170" w:type="dxa"/>
            <w:tcBorders/>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Balance 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(6,337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(16,568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(2,357</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2630"/>
        <w:gridCol w:w="90"/>
        <w:gridCol w:w="90"/>
        <w:gridCol w:w="620"/>
        <w:gridCol w:w="90"/>
        <w:gridCol w:w="90"/>
        <w:gridCol w:w="90"/>
        <w:gridCol w:w="620"/>
        <w:gridCol w:w="90"/>
        <w:gridCol w:w="90"/>
        <w:gridCol w:w="90"/>
        <w:gridCol w:w="620"/>
        <w:gridCol w:w="135"/>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w:t>
            </w:r>
          </w:p>
        </w:tc>
        <w:tc>
          <w:tcPr>
            <w:tcW w:w="13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3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to third parties (iv)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11,228</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deferred expenses(v)</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81,733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78,926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11,228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March 31, 2023, the Company entered into a five-year loan agreement with Worthy Credit Limited (“Worthy Credit”), pursuant to which the Company provides a loan of $5,000 to Worthy Credit bearing an interest rate of 2% per annual. Worthy Credit shall provide loan services to the Company’s customers who purchase the Company’s products sold in HK. As a result, the Company shall expect to promote its sourcing services, product sales as well as battery-swapping services in HK area. Consequently, the loan is not yet to be granted to any customers due to the fact that the Company’s vehicle product is still at certification stage and there is no contract entered into yet with any dealers or purchasers of battery swapping stations. </w:t>
            </w:r>
          </w:p>
        </w:tc>
      </w:tr>
      <w:tr>
        <w:trPr/>
        <w:tc>
          <w:tcPr>
            <w:tcW w:w="298" w:type="dxa"/>
            <w:tcBorders/>
            <w:vAlign w:val="center"/>
          </w:tcPr>
          <w:p>
            <w:pPr>
              <w:pStyle w:val="TableContents"/>
              <w:bidi w:val="0"/>
              <w:spacing w:before="0" w:after="283"/>
              <w:jc w:val="left"/>
              <w:rPr/>
            </w:pPr>
            <w:r>
              <w:rPr/>
              <w:t> </w:t>
            </w:r>
          </w:p>
        </w:tc>
        <w:tc>
          <w:tcPr>
            <w:tcW w:w="9907" w:type="dxa"/>
            <w:tcBorders/>
            <w:vAlign w:val="center"/>
          </w:tcPr>
          <w:p>
            <w:pPr>
              <w:pStyle w:val="TableContents"/>
              <w:bidi w:val="0"/>
              <w:spacing w:before="0" w:after="283"/>
              <w:jc w:val="both"/>
              <w:rPr/>
            </w:pPr>
            <w:r>
              <w:rPr/>
              <w:t> </w:t>
            </w:r>
          </w:p>
        </w:tc>
      </w:tr>
      <w:tr>
        <w:trPr/>
        <w:tc>
          <w:tcPr>
            <w:tcW w:w="298" w:type="dxa"/>
            <w:tcBorders/>
            <w:vAlign w:val="center"/>
          </w:tcPr>
          <w:p>
            <w:pPr>
              <w:pStyle w:val="TableContents"/>
              <w:bidi w:val="0"/>
              <w:spacing w:before="0" w:after="283"/>
              <w:jc w:val="left"/>
              <w:rPr/>
            </w:pPr>
            <w:r>
              <w:rPr/>
              <w:t> </w:t>
            </w:r>
          </w:p>
        </w:tc>
        <w:tc>
          <w:tcPr>
            <w:tcW w:w="99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Group entered into a cooperation agreement with Richness Fortune Credit (HK) Company Limited (“Richness”), whereby the Group agreed to provide a $6,000 loan to facilitate Richness’ identification of potential investment targets. However, due to persistent weakness in the primary investment market, the investment opportunities presented by Richness failed to meet management’s expectations, resulting in the funds remaining unutilized. Subsequently, in 2024, the Group and Richness executed an amendment agreement that: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Extends the cooperation term through December 2028; Implements an annual interest charge of $300. During the year ended December 31, 2025, the Company recognized interest received of RMB 1,054 (US$150).</w:t>
            </w:r>
          </w:p>
        </w:tc>
      </w:tr>
    </w:tbl>
    <w:p>
      <w:pPr>
        <w:pStyle w:val="TextBody"/>
        <w:bidi w:val="0"/>
        <w:spacing w:before="0" w:after="0"/>
        <w:ind w:left="0" w:right="0" w:firstLine="5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11, 2024, Youxu Zibo entered into a design service contract with Shanghai Kunying Technology Co., Ltd. for battery swap station projects. Under the agreement, design service costs are recognized in accordance with the construction progress of the respective battery swap stations. Costs related to uncompleted stations that have not passed final inspection are capitalized as long-term deferred expenses. As of December 31, 2025, the Company had no long-term deferred expenses.</w:t>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PROPERTY, PLANT AND EQUIPMENT,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6560" w:type="dxa"/>
        <w:jc w:val="left"/>
        <w:tblInd w:w="0" w:type="dxa"/>
        <w:tblLayout w:type="fixed"/>
        <w:tblCellMar>
          <w:top w:w="0" w:type="dxa"/>
          <w:left w:w="0" w:type="dxa"/>
          <w:bottom w:w="0" w:type="dxa"/>
          <w:right w:w="0" w:type="dxa"/>
        </w:tblCellMar>
      </w:tblPr>
      <w:tblGrid>
        <w:gridCol w:w="3440"/>
        <w:gridCol w:w="90"/>
        <w:gridCol w:w="90"/>
        <w:gridCol w:w="710"/>
        <w:gridCol w:w="125"/>
        <w:gridCol w:w="90"/>
        <w:gridCol w:w="90"/>
        <w:gridCol w:w="785"/>
        <w:gridCol w:w="125"/>
        <w:gridCol w:w="90"/>
        <w:gridCol w:w="90"/>
        <w:gridCol w:w="665"/>
        <w:gridCol w:w="170"/>
      </w:tblGrid>
      <w:tr>
        <w:trPr/>
        <w:tc>
          <w:tcPr>
            <w:tcW w:w="344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jc w:val="left"/>
              <w:rPr/>
            </w:pPr>
            <w:r>
              <w:rPr/>
              <w:t> </w:t>
            </w:r>
          </w:p>
        </w:tc>
        <w:tc>
          <w:tcPr>
            <w:tcW w:w="28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70" w:type="dxa"/>
            <w:tcBorders/>
            <w:vAlign w:val="center"/>
          </w:tcPr>
          <w:p>
            <w:pPr>
              <w:pStyle w:val="TableContents"/>
              <w:bidi w:val="0"/>
              <w:spacing w:before="0" w:after="283"/>
              <w:ind w:left="0" w:right="0" w:hanging="0"/>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ind w:left="0" w:right="0" w:hanging="0"/>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ind w:left="0" w:right="0" w:hanging="0"/>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and electronic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w:t>
            </w:r>
          </w:p>
        </w:tc>
        <w:tc>
          <w:tcPr>
            <w:tcW w:w="170" w:type="dxa"/>
            <w:tcBorders/>
            <w:vAlign w:val="center"/>
          </w:tcPr>
          <w:p>
            <w:pPr>
              <w:pStyle w:val="TableContents"/>
              <w:bidi w:val="0"/>
              <w:spacing w:before="0" w:after="283"/>
              <w:ind w:left="0" w:right="0" w:hanging="0"/>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2,008</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170" w:type="dxa"/>
            <w:tcBorders/>
            <w:vAlign w:val="center"/>
          </w:tcPr>
          <w:p>
            <w:pPr>
              <w:pStyle w:val="TableContents"/>
              <w:bidi w:val="0"/>
              <w:spacing w:before="0" w:after="283"/>
              <w:ind w:left="0" w:right="0" w:hanging="0"/>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Motor vehicles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in process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70" w:type="dxa"/>
            <w:tcBorders/>
            <w:vAlign w:val="center"/>
          </w:tcPr>
          <w:p>
            <w:pPr>
              <w:pStyle w:val="TableContents"/>
              <w:bidi w:val="0"/>
              <w:spacing w:before="0" w:after="283"/>
              <w:ind w:left="0" w:right="0" w:hanging="0"/>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20,106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22,030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loss of impairment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w:t>
            </w:r>
          </w:p>
        </w:tc>
        <w:tc>
          <w:tcPr>
            <w:tcW w:w="17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Group recorded depreciation expenses of RMB2,872 and RMB2,043 (US$291) respectively. There is RMB1,896 of impairment of property, plant and equipment recognized as of the years ended December 31, 2024 and 2025, respectively. The loss of the impairment was due to the permanent withdrawn of a production line made in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INTANGIBLE ASSETS,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Group’s intangible assets as of the respective balance sheet dates:</w:t>
      </w:r>
    </w:p>
    <w:p>
      <w:pPr>
        <w:pStyle w:val="TextBody"/>
        <w:bidi w:val="0"/>
        <w:spacing w:before="0" w:after="0"/>
        <w:ind w:left="0" w:right="0" w:firstLine="360"/>
        <w:jc w:val="left"/>
        <w:rPr>
          <w:caps w:val="false"/>
          <w:smallCaps w:val="false"/>
        </w:rPr>
      </w:pPr>
      <w:r>
        <w:rPr>
          <w:caps w:val="false"/>
          <w:smallCaps w:val="false"/>
        </w:rPr>
        <w:t> </w:t>
      </w:r>
    </w:p>
    <w:tbl>
      <w:tblPr>
        <w:tblW w:w="7744" w:type="dxa"/>
        <w:jc w:val="left"/>
        <w:tblInd w:w="0" w:type="dxa"/>
        <w:tblLayout w:type="fixed"/>
        <w:tblCellMar>
          <w:top w:w="0" w:type="dxa"/>
          <w:left w:w="0" w:type="dxa"/>
          <w:bottom w:w="0" w:type="dxa"/>
          <w:right w:w="0" w:type="dxa"/>
        </w:tblCellMar>
      </w:tblPr>
      <w:tblGrid>
        <w:gridCol w:w="3785"/>
        <w:gridCol w:w="90"/>
        <w:gridCol w:w="370"/>
        <w:gridCol w:w="1689"/>
        <w:gridCol w:w="125"/>
        <w:gridCol w:w="90"/>
        <w:gridCol w:w="111"/>
        <w:gridCol w:w="509"/>
        <w:gridCol w:w="125"/>
        <w:gridCol w:w="90"/>
        <w:gridCol w:w="139"/>
        <w:gridCol w:w="451"/>
        <w:gridCol w:w="170"/>
      </w:tblGrid>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Purchased 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Net balance as of December 31, 2024</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18</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Amortization expense</w:t>
            </w:r>
          </w:p>
        </w:tc>
        <w:tc>
          <w:tcPr>
            <w:tcW w:w="90" w:type="dxa"/>
            <w:tcBorders/>
            <w:vAlign w:val="center"/>
          </w:tcPr>
          <w:p>
            <w:pPr>
              <w:pStyle w:val="TableContents"/>
              <w:bidi w:val="0"/>
              <w:spacing w:before="0" w:after="283"/>
              <w:jc w:val="left"/>
              <w:rPr/>
            </w:pPr>
            <w:r>
              <w:rPr/>
              <w:t> </w:t>
            </w:r>
          </w:p>
        </w:tc>
        <w:tc>
          <w:tcPr>
            <w:tcW w:w="3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9" w:type="dxa"/>
            <w:tcBorders>
              <w:bottom w:val="single" w:sz="12" w:space="0" w:color="000000"/>
            </w:tcBorders>
            <w:tcMar>
              <w:bottom w:w="28" w:type="dxa"/>
            </w:tcMar>
            <w:vAlign w:val="center"/>
          </w:tcPr>
          <w:p>
            <w:pPr>
              <w:pStyle w:val="TableContents"/>
              <w:bidi w:val="0"/>
              <w:spacing w:before="0" w:after="283"/>
              <w:jc w:val="right"/>
              <w:rPr/>
            </w:pPr>
            <w:r>
              <w:rPr/>
              <w:t>(70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509" w:type="dxa"/>
            <w:tcBorders>
              <w:bottom w:val="single" w:sz="12" w:space="0" w:color="000000"/>
            </w:tcBorders>
            <w:tcMar>
              <w:bottom w:w="28" w:type="dxa"/>
            </w:tcMar>
            <w:vAlign w:val="center"/>
          </w:tcPr>
          <w:p>
            <w:pPr>
              <w:pStyle w:val="TableContents"/>
              <w:bidi w:val="0"/>
              <w:spacing w:before="0" w:after="283"/>
              <w:jc w:val="right"/>
              <w:rPr/>
            </w:pPr>
            <w:r>
              <w:rPr/>
              <w:t>(70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451" w:type="dxa"/>
            <w:tcBorders>
              <w:bottom w:val="single" w:sz="12" w:space="0" w:color="000000"/>
            </w:tcBorders>
            <w:tcMar>
              <w:bottom w:w="28" w:type="dxa"/>
            </w:tcMar>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b/>
              </w:rPr>
            </w:pPr>
            <w:r>
              <w:rPr>
                <w:b/>
              </w:rPr>
              <w:t>Net balance as of December 31, 2025</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are amortized using the straight-line method, which is the Group’s best estimate of how these assets will be economically consumed over their respective estimated useful lives of one to ten years.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intangible assets were RMB69 and RMB70 (US$9) for the years ended December 31, 2024 and 2025, respectively. No impairment charge was recorded for the years ended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estimated amortization expenses for the intangible assets for each of the next year are as follows:</w:t>
      </w:r>
    </w:p>
    <w:p>
      <w:pPr>
        <w:pStyle w:val="TextBody"/>
        <w:bidi w:val="0"/>
        <w:spacing w:before="0" w:after="0"/>
        <w:ind w:left="0" w:right="0" w:firstLine="360"/>
        <w:jc w:val="both"/>
        <w:rPr>
          <w:caps w:val="false"/>
          <w:smallCaps w:val="false"/>
        </w:rPr>
      </w:pPr>
      <w:r>
        <w:rPr>
          <w:caps w:val="false"/>
          <w:smallCaps w:val="false"/>
        </w:rPr>
        <w:t> </w:t>
      </w:r>
    </w:p>
    <w:tbl>
      <w:tblPr>
        <w:tblW w:w="2054" w:type="dxa"/>
        <w:jc w:val="left"/>
        <w:tblInd w:w="0" w:type="dxa"/>
        <w:tblLayout w:type="fixed"/>
        <w:tblCellMar>
          <w:top w:w="0" w:type="dxa"/>
          <w:left w:w="0" w:type="dxa"/>
          <w:bottom w:w="0" w:type="dxa"/>
          <w:right w:w="0" w:type="dxa"/>
        </w:tblCellMar>
      </w:tblPr>
      <w:tblGrid>
        <w:gridCol w:w="545"/>
        <w:gridCol w:w="90"/>
        <w:gridCol w:w="146"/>
        <w:gridCol w:w="474"/>
        <w:gridCol w:w="90"/>
        <w:gridCol w:w="90"/>
        <w:gridCol w:w="167"/>
        <w:gridCol w:w="317"/>
        <w:gridCol w:w="135"/>
      </w:tblGrid>
      <w:tr>
        <w:trPr/>
        <w:tc>
          <w:tcPr>
            <w:tcW w:w="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LONG-TERM INVESTMENTS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long-term investments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45"/>
        <w:gridCol w:w="90"/>
        <w:gridCol w:w="90"/>
        <w:gridCol w:w="830"/>
        <w:gridCol w:w="125"/>
        <w:gridCol w:w="90"/>
        <w:gridCol w:w="90"/>
        <w:gridCol w:w="830"/>
        <w:gridCol w:w="90"/>
        <w:gridCol w:w="90"/>
        <w:gridCol w:w="90"/>
        <w:gridCol w:w="710"/>
        <w:gridCol w:w="135"/>
      </w:tblGrid>
      <w:tr>
        <w:trPr/>
        <w:tc>
          <w:tcPr>
            <w:tcW w:w="6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6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6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6945" w:type="dxa"/>
            <w:tcBorders/>
            <w:vAlign w:val="center"/>
          </w:tcPr>
          <w:p>
            <w:pPr>
              <w:pStyle w:val="TableContents"/>
              <w:bidi w:val="0"/>
              <w:spacing w:before="0" w:after="283"/>
              <w:jc w:val="left"/>
              <w:rPr>
                <w:b/>
                <w:i/>
              </w:rPr>
            </w:pPr>
            <w:r>
              <w:rPr>
                <w:b/>
                <w:i/>
              </w:rPr>
              <w:t>Equity investments:</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6945" w:type="dxa"/>
            <w:tcBorders/>
            <w:shd w:fill="CCEEFF" w:val="clear"/>
            <w:vAlign w:val="center"/>
          </w:tcPr>
          <w:p>
            <w:pPr>
              <w:pStyle w:val="TableContents"/>
              <w:bidi w:val="0"/>
              <w:spacing w:before="0" w:after="283"/>
              <w:jc w:val="left"/>
              <w:rPr/>
            </w:pPr>
            <w:r>
              <w:rPr/>
              <w:t>Zibo Hengxin Investment Partnership (Limited Partnership) (the “Fund”) (i)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120,006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109,133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15,527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45" w:type="dxa"/>
            <w:tcBorders/>
            <w:vAlign w:val="center"/>
          </w:tcPr>
          <w:p>
            <w:pPr>
              <w:pStyle w:val="TableContents"/>
              <w:bidi w:val="0"/>
              <w:spacing w:before="0" w:after="283"/>
              <w:jc w:val="left"/>
              <w:rPr/>
            </w:pPr>
            <w:r>
              <w:rPr/>
              <w:t>Huzhou Zheyou New Energy Sales Co., Ltd. (“Huzhou Zheyou”) (ii)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407</w:t>
            </w:r>
          </w:p>
        </w:tc>
        <w:tc>
          <w:tcPr>
            <w:tcW w:w="135" w:type="dxa"/>
            <w:tcBorders/>
            <w:vAlign w:val="center"/>
          </w:tcPr>
          <w:p>
            <w:pPr>
              <w:pStyle w:val="TableContents"/>
              <w:bidi w:val="0"/>
              <w:spacing w:before="0" w:after="283"/>
              <w:ind w:left="0" w:right="0" w:hanging="180"/>
              <w:jc w:val="left"/>
              <w:rPr/>
            </w:pPr>
            <w:r>
              <w:rPr/>
              <w:t> </w:t>
            </w:r>
          </w:p>
        </w:tc>
      </w:tr>
      <w:tr>
        <w:trPr/>
        <w:tc>
          <w:tcPr>
            <w:tcW w:w="6945" w:type="dxa"/>
            <w:tcBorders/>
            <w:shd w:fill="CCEEFF" w:val="clear"/>
            <w:vAlign w:val="center"/>
          </w:tcPr>
          <w:p>
            <w:pPr>
              <w:pStyle w:val="TableContents"/>
              <w:bidi w:val="0"/>
              <w:spacing w:before="0" w:after="283"/>
              <w:jc w:val="left"/>
              <w:rPr/>
            </w:pPr>
            <w:r>
              <w:rPr/>
              <w:t>MATSON (HONG KONG)(iii)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20,773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2,988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45" w:type="dxa"/>
            <w:tcBorders/>
            <w:vAlign w:val="center"/>
          </w:tcPr>
          <w:p>
            <w:pPr>
              <w:pStyle w:val="TableContents"/>
              <w:bidi w:val="0"/>
              <w:spacing w:before="0" w:after="283"/>
              <w:jc w:val="left"/>
              <w:rPr/>
            </w:pPr>
            <w:r>
              <w:rPr/>
              <w:t>UNEX EV B.V(iv)</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105</w:t>
            </w:r>
          </w:p>
        </w:tc>
        <w:tc>
          <w:tcPr>
            <w:tcW w:w="135" w:type="dxa"/>
            <w:tcBorders/>
            <w:vAlign w:val="center"/>
          </w:tcPr>
          <w:p>
            <w:pPr>
              <w:pStyle w:val="TableContents"/>
              <w:bidi w:val="0"/>
              <w:spacing w:before="0" w:after="283"/>
              <w:ind w:left="0" w:right="0" w:hanging="180"/>
              <w:jc w:val="left"/>
              <w:rPr/>
            </w:pPr>
            <w:r>
              <w:rPr/>
              <w:t> </w:t>
            </w:r>
          </w:p>
        </w:tc>
      </w:tr>
      <w:tr>
        <w:trPr/>
        <w:tc>
          <w:tcPr>
            <w:tcW w:w="6945" w:type="dxa"/>
            <w:tcBorders/>
            <w:shd w:fill="CCEEFF" w:val="clear"/>
            <w:vAlign w:val="center"/>
          </w:tcPr>
          <w:p>
            <w:pPr>
              <w:pStyle w:val="TableContents"/>
              <w:bidi w:val="0"/>
              <w:spacing w:before="0" w:after="283"/>
              <w:jc w:val="left"/>
              <w:rPr/>
            </w:pPr>
            <w:r>
              <w:rPr/>
              <w:t>S.U SWAP CO.,LTD (v)</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45" w:type="dxa"/>
            <w:tcBorders/>
            <w:vAlign w:val="center"/>
          </w:tcPr>
          <w:p>
            <w:pPr>
              <w:pStyle w:val="TableContents"/>
              <w:bidi w:val="0"/>
              <w:spacing w:before="0" w:after="283"/>
              <w:jc w:val="left"/>
              <w:rPr/>
            </w:pPr>
            <w:r>
              <w:rPr/>
              <w:t>Less: impairment on equity investments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(10,503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9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134,114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133,942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19,056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2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December 2020, the Group entered into a partnership agreement with Zibo Hengxin Investment Partnership (Limited Partnership) and its participating shareholder, Guanmiao (Beijing) Investment Management Co., Ltd. (“Guanmiao”), whereby the Group agreed to purchased limited partnership interest in Zibo Hengxin Investment Fund Partnership (Limited Partnership) (the “Fund”) in the amount of RMB120,000, which entitles the Group an aggregate interest of approximately 99% in the Fund. In December 2021, the Fund decreased the total partnership capital to RMB111,200 and returned to the Group by RMB10,000 and the aggregate interest of the Group was subsequently diluted to 98.9%. In October 2023, the Group entered RMB10,000 into Zibohengxin Investment Partnership, and the Group accounted aggregate interest of approximately 99% in the Fund. There was no unfunded commitment to the Fund as of December 31, 2025. For the year ended of December 31, 2025, the Group recorded an investment loss of RMB371 from the operating result of Zibo Hengxin.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April 2022, the Group entered into an agreement to invest in Huzhou Zheyou New Energy Sales Co., Ltd. (“Huzhou Zheyou”), with capital injected of RMB1,750 in June 2022 and RMB1,750 in November 2023, respectively. The Group held an equity interest of 35% as of December 31, 2025. For the year ended of December 31, 2025, the Group recorded an investment loss of RMB262 from the operating result of Huzhou Zheyou. </w:t>
            </w:r>
          </w:p>
        </w:tc>
      </w:tr>
    </w:tbl>
    <w:p>
      <w:pPr>
        <w:pStyle w:val="TextBody"/>
        <w:bidi w:val="0"/>
        <w:spacing w:before="0" w:after="0"/>
        <w:ind w:left="12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6, 2024, the Company and Zeng Lingzhi, the sole legal and beneficial owner of Matson, a private company with limited liability incorporated under the laws of Hong Kong engaged in the business of technology development, entered into a Share Exchange Agreement (the “Agreement”). Pursuant to the Agreement, the Company intends to acquire from Matson 3,560 ordinary shares (the “Matson Shares”), which will be issued and allotted by Matson to the Company and represent 26.25% of Matson’s total equity shares (the “Acquisition”). In exchange for the Matson Shares, the Company agreed to issue and allot 30,000,000 ordinary shares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entered into an agreement to invest in UNEX EV B.V, and injected capital of US$105 in July 2024. The Group held an equity interest of 9% of UNEX EV B.V. For the year ended of December 31, 2025, the Group recorded an investment income of RMB47 from the operating result of Zibo Hengxin.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entered into an agreement to invest in S.U SWAP CO.,LTD, and injected capital of RMB205 in December 2025. The Group held an equity interest of 10.2% of S.U SWAP CO.,LTD.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REFUNDABLE DEPOSIT FOR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represented loans to Shanghai Lingneng Electricity Selling Co., Ltd. (“SH Lingneng”) for its operations pursuant to loan agreements entered into in 2019, bearing an interest rate of 3% per annum. Subsequently in August 2023, the Company entered into a term sheet, the result of which would be the investment into SH Lingneng’s interest equity (“Transaction”). Final terms and arrangements of this potential Transaction would be determined on Share Purchase Agreement (“SPA”), Shareholders’ Agreement (“SHA”), Memorandum of Association (“MA”) and other documents associated with the Transaction. As of December 31,2022, the balance of the refundable deposit for investment is RMB80,183, the Company has recovered RMB7,409 of the refundable investment funds in 2023, and the balance of the refundable deposit for investment is RMB72,774 (US$10,250) as of December 31,2023. On February 28, 2024, the Company entered into an investment termination agreement, pursuant to which Shanghai Lingneng shall pay no less than one third of the total amount per annum in the following three years. During the year ended December 31, 2025, the Company has received a refund of RMB39,745 (US$5,655).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BANK BORROWINGS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were as follows as of the respective balance sheet dates:</w:t>
      </w:r>
    </w:p>
    <w:p>
      <w:pPr>
        <w:pStyle w:val="TextBody"/>
        <w:bidi w:val="0"/>
        <w:spacing w:before="0" w:after="0"/>
        <w:ind w:left="0" w:right="0" w:firstLine="360"/>
        <w:jc w:val="both"/>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4865"/>
        <w:gridCol w:w="90"/>
        <w:gridCol w:w="90"/>
        <w:gridCol w:w="710"/>
        <w:gridCol w:w="90"/>
        <w:gridCol w:w="90"/>
        <w:gridCol w:w="90"/>
        <w:gridCol w:w="710"/>
        <w:gridCol w:w="90"/>
        <w:gridCol w:w="90"/>
        <w:gridCol w:w="90"/>
        <w:gridCol w:w="590"/>
        <w:gridCol w:w="135"/>
      </w:tblGrid>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3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bank borrowing(i)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w:t>
            </w:r>
          </w:p>
        </w:tc>
        <w:tc>
          <w:tcPr>
            <w:tcW w:w="1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bank borrowing, current portion(ii)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1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bank borrowing, non-current portion(ii)</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During fiscal year 2025, Shanghai Youxu fully repaid the aggregate short-term bank borrowings of RMB4,000 originally obtained in 2024. While, Shanghai Youxu entered into new one-year short-term bank loans of RMB2,000 on February 21, 2025, carrying an annual interest rate of 3.10%. </w:t>
            </w:r>
          </w:p>
        </w:tc>
      </w:tr>
    </w:tbl>
    <w:p>
      <w:pPr>
        <w:pStyle w:val="TextBody"/>
        <w:bidi w:val="0"/>
        <w:spacing w:before="0" w:after="283"/>
        <w:jc w:val="left"/>
        <w:rPr/>
      </w:pPr>
      <w:r>
        <w:rPr/>
        <w:t> </w:t>
      </w:r>
    </w:p>
    <w:tbl>
      <w:tblPr>
        <w:tblW w:w="8320" w:type="dxa"/>
        <w:jc w:val="left"/>
        <w:tblInd w:w="0" w:type="dxa"/>
        <w:tblLayout w:type="fixed"/>
        <w:tblCellMar>
          <w:top w:w="0" w:type="dxa"/>
          <w:left w:w="0" w:type="dxa"/>
          <w:bottom w:w="0" w:type="dxa"/>
          <w:right w:w="0" w:type="dxa"/>
        </w:tblCellMar>
      </w:tblPr>
      <w:tblGrid>
        <w:gridCol w:w="305"/>
        <w:gridCol w:w="8015"/>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During fiscal year 2025, Youxu Zibo repaid RMB700 of its bank borrowings from Qishang Bank.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ACCRUED EXPENSES AND OTHER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4175"/>
        <w:gridCol w:w="90"/>
        <w:gridCol w:w="90"/>
        <w:gridCol w:w="620"/>
        <w:gridCol w:w="90"/>
        <w:gridCol w:w="90"/>
        <w:gridCol w:w="90"/>
        <w:gridCol w:w="620"/>
        <w:gridCol w:w="90"/>
        <w:gridCol w:w="90"/>
        <w:gridCol w:w="90"/>
        <w:gridCol w:w="515"/>
        <w:gridCol w:w="135"/>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welfare payables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third parties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to Anhui Juhu (ii)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settlement(iii)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consideration in relation to investment (i)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13,281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2021, AHYS and Youpin entered into an equity transfer agreement (“the Agreement”) with Ningbo Tuowei Equity Investment Partnership (Limited Partnership) (“Ningbo Tuowei”), the shareholder who owned 0.5533% share equity of Youpin. pursuant to which Ningbo Tuowei is entitled to transfer its all 0.5533% share equity of Youpin for a total consideration of RMB6,000 to AHYS. As of December 31, 2025, the outstanding balance of this deferred consideration in relation to investment is nil.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2023, Youpin was sued by Anhui Juhu Doors &amp; Windows Technology Co., Ltd. for alleged unpaid rent amounting to RMB3,245 (approximately $457). As defendant, Youpin reached a settlement agreement on July 29, 2024, which established the final payable amount at RMB2,000. As of 31 December 2025, the Group has cleared all amounts payable.</w:t>
            </w:r>
          </w:p>
        </w:tc>
      </w:tr>
    </w:tbl>
    <w:p>
      <w:pPr>
        <w:pStyle w:val="TextBody"/>
        <w:bidi w:val="0"/>
        <w:spacing w:before="0" w:after="0"/>
        <w:ind w:left="0" w:right="0" w:hanging="0"/>
        <w:jc w:val="center"/>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365"/>
        <w:gridCol w:w="9710"/>
      </w:tblGrid>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litigation and settlement matters, please refer to Note 21, “COMMITMENTS AND CONTINGENCIES.”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buildings, office facilities, land use rights and batteries in PRC. The Company does not have any finance lease for the years ended December 31, 2024 and 2025. Operating leases result in the recognition of right-of-use (“ROU”) assets and lease liabilities on the balance sheet. ROU assets represent the Company’s right to use the leased asset for the lease term, and lease liabilities represent the obligation to make lease payments. The operating lease expenses were charged to cost of sales, research and development expenses and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supplemental information related to operating leases as of December 31, 2024 and 2025 was as follows:</w:t>
      </w:r>
    </w:p>
    <w:p>
      <w:pPr>
        <w:pStyle w:val="TextBody"/>
        <w:bidi w:val="0"/>
        <w:spacing w:before="0" w:after="0"/>
        <w:ind w:left="0" w:right="0" w:firstLine="360"/>
        <w:jc w:val="both"/>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3875"/>
        <w:gridCol w:w="90"/>
        <w:gridCol w:w="90"/>
        <w:gridCol w:w="920"/>
        <w:gridCol w:w="245"/>
        <w:gridCol w:w="90"/>
        <w:gridCol w:w="90"/>
        <w:gridCol w:w="875"/>
        <w:gridCol w:w="245"/>
        <w:gridCol w:w="90"/>
        <w:gridCol w:w="90"/>
        <w:gridCol w:w="590"/>
        <w:gridCol w:w="135"/>
      </w:tblGrid>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3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3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135"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13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35"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  years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 years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under operating leases as of December 31, 2025 were as follows:</w:t>
      </w:r>
    </w:p>
    <w:p>
      <w:pPr>
        <w:pStyle w:val="TextBody"/>
        <w:bidi w:val="0"/>
        <w:spacing w:before="0" w:after="0"/>
        <w:ind w:left="0" w:right="0" w:firstLine="360"/>
        <w:jc w:val="left"/>
        <w:rPr>
          <w:caps w:val="false"/>
          <w:smallCaps w:val="false"/>
        </w:rPr>
      </w:pPr>
      <w:r>
        <w:rPr>
          <w:caps w:val="false"/>
          <w:smallCaps w:val="false"/>
        </w:rPr>
        <w:t> </w:t>
      </w:r>
    </w:p>
    <w:tbl>
      <w:tblPr>
        <w:tblW w:w="5699" w:type="dxa"/>
        <w:jc w:val="left"/>
        <w:tblInd w:w="0" w:type="dxa"/>
        <w:tblLayout w:type="fixed"/>
        <w:tblCellMar>
          <w:top w:w="0" w:type="dxa"/>
          <w:left w:w="0" w:type="dxa"/>
          <w:bottom w:w="0" w:type="dxa"/>
          <w:right w:w="0" w:type="dxa"/>
        </w:tblCellMar>
      </w:tblPr>
      <w:tblGrid>
        <w:gridCol w:w="3935"/>
        <w:gridCol w:w="90"/>
        <w:gridCol w:w="179"/>
        <w:gridCol w:w="1325"/>
        <w:gridCol w:w="170"/>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br/>
              <w:t xml:space="preserve">December 31, </w:t>
              <w:br/>
              <w:t>2025</w:t>
            </w:r>
          </w:p>
        </w:tc>
        <w:tc>
          <w:tcPr>
            <w:tcW w:w="17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30"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70" w:type="dxa"/>
            <w:tcBorders/>
            <w:vAlign w:val="center"/>
          </w:tcPr>
          <w:p>
            <w:pPr>
              <w:pStyle w:val="TableContents"/>
              <w:bidi w:val="0"/>
              <w:spacing w:before="0" w:after="283"/>
              <w:ind w:left="0" w:right="0" w:hanging="180"/>
              <w:jc w:val="center"/>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FY2026</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FY2027</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w:t>
            </w:r>
          </w:p>
        </w:tc>
        <w:tc>
          <w:tcPr>
            <w:tcW w:w="170" w:type="dxa"/>
            <w:tcBorders/>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FY2028</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FY2029</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w:t>
            </w:r>
          </w:p>
        </w:tc>
        <w:tc>
          <w:tcPr>
            <w:tcW w:w="170" w:type="dxa"/>
            <w:tcBorders/>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FY2030</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lease payment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5,399</w:t>
            </w:r>
          </w:p>
        </w:tc>
        <w:tc>
          <w:tcPr>
            <w:tcW w:w="170" w:type="dxa"/>
            <w:tcBorders/>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Represent value of future lease payments</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3,609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RELATED PARTY TRANSACTIONS</w:t>
      </w:r>
    </w:p>
    <w:p>
      <w:pPr>
        <w:pStyle w:val="TextBody"/>
        <w:bidi w:val="0"/>
        <w:spacing w:before="0" w:after="0"/>
        <w:ind w:left="31"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related parties that transacted with the Group and their respective relationship to the Group listed as below:</w:t>
      </w:r>
    </w:p>
    <w:p>
      <w:pPr>
        <w:pStyle w:val="TextBody"/>
        <w:bidi w:val="0"/>
        <w:spacing w:before="0" w:after="0"/>
        <w:ind w:left="31" w:right="0" w:firstLine="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1"/>
        <w:gridCol w:w="90"/>
        <w:gridCol w:w="3674"/>
      </w:tblGrid>
      <w:tr>
        <w:trPr/>
        <w:tc>
          <w:tcPr>
            <w:tcW w:w="6441"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Names of the related parties</w:t>
            </w:r>
          </w:p>
        </w:tc>
        <w:tc>
          <w:tcPr>
            <w:tcW w:w="90" w:type="dxa"/>
            <w:tcBorders/>
            <w:tcMar>
              <w:bottom w:w="0" w:type="dxa"/>
            </w:tcMar>
            <w:vAlign w:val="center"/>
          </w:tcPr>
          <w:p>
            <w:pPr>
              <w:pStyle w:val="TableContents"/>
              <w:bidi w:val="0"/>
              <w:spacing w:before="0" w:after="283"/>
              <w:jc w:val="left"/>
              <w:rPr/>
            </w:pPr>
            <w:r>
              <w:rPr/>
              <w:t> </w:t>
            </w:r>
          </w:p>
        </w:tc>
        <w:tc>
          <w:tcPr>
            <w:tcW w:w="3674"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Youyue Travel Technology Co., Ltd. (“Hangzhou Youyue”)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Bingyi Zhao</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Youzhang Commerical Information Consulting Partnership (Limited Partnership) (“Shanghai Youzhang”)</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Ningbo Youheng Automobile Service Co., Ltd. (“Ningbo Youheng Automobile”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Zhejiang Youxiaodian Automobile Service Co., Ltd. (“Zhejiang Youxiaodian”)</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Qingshan Wei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Controlling shareholder of U Power Limited</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Youjia Technology (Shanghai) Co., Ltd. (“Youjia Technology”)</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Youpinsuoer New Energy Technology Co., Ltd. (“Shanghai Youpinsuoer”)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Controlling shareholder, Director and CEO of U Power Limited</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Bingyi Zhao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Director and Chief Financial Officer of U Power Limited</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Youyidian Automobile Technology Co., Ltd. (“Shandong Youyidian”)</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Youche Jingpin E-commerce (Shanghai) Co., Ltd. (“Youche Jingpin”)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Youcang Business Consulting Partnership (Limited Partnership) (“Shanghai Youcang”)</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Nanmu (Shanghai) Financial Leasing Co., Ltd(“Nanmu”)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74"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An affiliate of Jia Li</w:t>
            </w:r>
          </w:p>
        </w:tc>
      </w:tr>
      <w:tr>
        <w:trPr/>
        <w:tc>
          <w:tcPr>
            <w:tcW w:w="644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 Li</w:t>
            </w:r>
          </w:p>
        </w:tc>
        <w:tc>
          <w:tcPr>
            <w:tcW w:w="90" w:type="dxa"/>
            <w:tcBorders/>
            <w:tcMar>
              <w:bottom w:w="0" w:type="dxa"/>
            </w:tcMar>
            <w:vAlign w:val="center"/>
          </w:tcPr>
          <w:p>
            <w:pPr>
              <w:pStyle w:val="TableContents"/>
              <w:bidi w:val="0"/>
              <w:spacing w:before="0" w:after="283"/>
              <w:jc w:val="left"/>
              <w:rPr/>
            </w:pPr>
            <w:r>
              <w:rPr/>
              <w:t> </w:t>
            </w:r>
          </w:p>
        </w:tc>
        <w:tc>
          <w:tcPr>
            <w:tcW w:w="367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of U Power Limited</w:t>
            </w:r>
          </w:p>
        </w:tc>
      </w:tr>
    </w:tbl>
    <w:p>
      <w:pPr>
        <w:pStyle w:val="TextBody"/>
        <w:bidi w:val="0"/>
        <w:spacing w:before="0" w:after="0"/>
        <w:ind w:left="360" w:right="0" w:firstLine="15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Amounts due from related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9"/>
        <w:gridCol w:w="90"/>
        <w:gridCol w:w="228"/>
        <w:gridCol w:w="1809"/>
        <w:gridCol w:w="90"/>
        <w:gridCol w:w="90"/>
        <w:gridCol w:w="228"/>
        <w:gridCol w:w="1809"/>
        <w:gridCol w:w="90"/>
        <w:gridCol w:w="90"/>
        <w:gridCol w:w="191"/>
        <w:gridCol w:w="1254"/>
        <w:gridCol w:w="137"/>
      </w:tblGrid>
      <w:tr>
        <w:trPr/>
        <w:tc>
          <w:tcPr>
            <w:tcW w:w="40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December 31,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w:t>
              <w:br/>
              <w:t>2025</w:t>
            </w:r>
          </w:p>
        </w:tc>
        <w:tc>
          <w:tcPr>
            <w:tcW w:w="137" w:type="dxa"/>
            <w:tcBorders/>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37" w:type="dxa"/>
            <w:tcBorders/>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Nanmu (Shanghai) Financial Leasing Co., Ltd.</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8,571</w:t>
            </w:r>
          </w:p>
        </w:tc>
        <w:tc>
          <w:tcPr>
            <w:tcW w:w="137" w:type="dxa"/>
            <w:tcBorders/>
            <w:shd w:fill="CCEEFF" w:val="clear"/>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8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8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 Li</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Youcang</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8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8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Bingyi Zhao</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Huzhou Zheyou New Energy Sales Co., Ltd.</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809"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8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37" w:type="dxa"/>
            <w:tcBorders/>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8,575</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Nanmu (Shanghai) Financial Leasing Co., Ltd. represent an investment deposit to Nanmu (Shanghai) Financial Leasing Co., Ltd. As of the date of this annual report, Nanmu (Shanghai) Financial Leasing Co., Ltd. had returned RMB 50,000 (US$ 7,114) of the relevant investment deposit.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Jia Li and Ke Li represent the advance paid to Jia Li and Ke Li by Youpin Shandong, SH Youxu and Energy U Limited for their market expansion efforts, at an interest rate of 12.4% and with a due date of June 30,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Shanghai Youcang represent the advances paid by AHYS to Shanghai Youcang regarding the transfer of 24.11% equity interests of Youpin in May 2022.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from Bingyi Zhao represent the advances paid by Youpin Shandong to Bingyi Zhao for her market expansion efforts.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Amounts due to related parties</w:t>
      </w:r>
    </w:p>
    <w:p>
      <w:pPr>
        <w:pStyle w:val="TextBody"/>
        <w:bidi w:val="0"/>
        <w:spacing w:before="0" w:after="0"/>
        <w:ind w:left="0" w:right="0" w:firstLine="451"/>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1310"/>
        <w:gridCol w:w="90"/>
        <w:gridCol w:w="276"/>
        <w:gridCol w:w="1813"/>
        <w:gridCol w:w="90"/>
        <w:gridCol w:w="90"/>
        <w:gridCol w:w="276"/>
        <w:gridCol w:w="1813"/>
        <w:gridCol w:w="90"/>
        <w:gridCol w:w="90"/>
        <w:gridCol w:w="260"/>
        <w:gridCol w:w="1185"/>
        <w:gridCol w:w="135"/>
      </w:tblGrid>
      <w:tr>
        <w:trPr/>
        <w:tc>
          <w:tcPr>
            <w:tcW w:w="1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December 31,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w:t>
              <w:br/>
              <w:t>2025</w:t>
            </w:r>
          </w:p>
        </w:tc>
        <w:tc>
          <w:tcPr>
            <w:tcW w:w="13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3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 Li</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Bingyi Zhao</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8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8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UNEX EV</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135"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bottom w:val="double" w:sz="10" w:space="0" w:color="000000"/>
            </w:tcBorders>
            <w:tcMar>
              <w:bottom w:w="28" w:type="dxa"/>
            </w:tcMar>
            <w:vAlign w:val="center"/>
          </w:tcPr>
          <w:p>
            <w:pPr>
              <w:pStyle w:val="TableContents"/>
              <w:bidi w:val="0"/>
              <w:spacing w:before="0" w:after="283"/>
              <w:jc w:val="left"/>
              <w:rPr/>
            </w:pPr>
            <w:r>
              <w:rPr/>
              <w:t> </w:t>
            </w:r>
          </w:p>
        </w:tc>
        <w:tc>
          <w:tcPr>
            <w:tcW w:w="181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bottom w:val="double" w:sz="10" w:space="0" w:color="000000"/>
            </w:tcBorders>
            <w:tcMar>
              <w:bottom w:w="28" w:type="dxa"/>
            </w:tcMar>
            <w:vAlign w:val="center"/>
          </w:tcPr>
          <w:p>
            <w:pPr>
              <w:pStyle w:val="TableContents"/>
              <w:bidi w:val="0"/>
              <w:spacing w:before="0" w:after="283"/>
              <w:jc w:val="left"/>
              <w:rPr/>
            </w:pPr>
            <w:r>
              <w:rPr/>
              <w:t> </w:t>
            </w:r>
          </w:p>
        </w:tc>
        <w:tc>
          <w:tcPr>
            <w:tcW w:w="181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Ke Li and Bingyi Zhao represent the interest-free loans to SH Youxu, Energy U Limited, and U Power Limited for their operation purposes.</w:t>
            </w:r>
          </w:p>
        </w:tc>
      </w:tr>
    </w:tbl>
    <w:p>
      <w:pPr>
        <w:pStyle w:val="TextBody"/>
        <w:bidi w:val="0"/>
        <w:spacing w:before="0" w:after="283"/>
        <w:jc w:val="left"/>
        <w:rPr/>
      </w:pPr>
      <w:r>
        <w:rPr/>
        <w:t> </w:t>
      </w:r>
    </w:p>
    <w:tbl>
      <w:tblPr>
        <w:tblW w:w="7885" w:type="dxa"/>
        <w:jc w:val="left"/>
        <w:tblInd w:w="0" w:type="dxa"/>
        <w:tblLayout w:type="fixed"/>
        <w:tblCellMar>
          <w:top w:w="0" w:type="dxa"/>
          <w:left w:w="0" w:type="dxa"/>
          <w:bottom w:w="0" w:type="dxa"/>
          <w:right w:w="0" w:type="dxa"/>
        </w:tblCellMar>
      </w:tblPr>
      <w:tblGrid>
        <w:gridCol w:w="290"/>
        <w:gridCol w:w="75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UNEX EV represent the loans to Energy U Limited for its operation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Related party’s transaction</w:t>
      </w:r>
    </w:p>
    <w:p>
      <w:pPr>
        <w:pStyle w:val="TextBody"/>
        <w:bidi w:val="0"/>
        <w:spacing w:before="0" w:after="0"/>
        <w:ind w:left="0" w:right="0" w:firstLine="451"/>
        <w:jc w:val="left"/>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4535"/>
        <w:gridCol w:w="90"/>
        <w:gridCol w:w="90"/>
        <w:gridCol w:w="620"/>
        <w:gridCol w:w="110"/>
        <w:gridCol w:w="90"/>
        <w:gridCol w:w="90"/>
        <w:gridCol w:w="620"/>
        <w:gridCol w:w="110"/>
        <w:gridCol w:w="90"/>
        <w:gridCol w:w="90"/>
        <w:gridCol w:w="515"/>
        <w:gridCol w:w="155"/>
      </w:tblGrid>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2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br/>
              <w:t>December 31,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to Nanmu (Shanghai) Financial Leasing Co., Ltd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40,243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w:t>
            </w:r>
          </w:p>
        </w:tc>
        <w:tc>
          <w:tcPr>
            <w:tcW w:w="15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Advance to Jia Li</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5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Advance to Ke Li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 (Repayment of loans) to Shanghai Youcang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5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Advance to Bingyi Zhao</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receivables to Youche Jingpin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to Huzhou Zheyou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loans from Jia Li</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loans from Ke Li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loans from Bingyi Zhao</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5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UNEX EV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 (Repayment of loans)from Hangzhou Youyue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firstLine="451"/>
        <w:jc w:val="left"/>
        <w:rPr>
          <w:caps w:val="false"/>
          <w:smallCaps w:val="false"/>
        </w:rPr>
      </w:pPr>
      <w:r>
        <w:rPr>
          <w:caps w:val="false"/>
          <w:smallCaps w:val="false"/>
        </w:rPr>
        <w:t> </w:t>
      </w:r>
    </w:p>
    <w:p>
      <w:pPr>
        <w:pStyle w:val="TextBody"/>
        <w:bidi w:val="0"/>
        <w:spacing w:before="0" w:after="0"/>
        <w:ind w:left="360" w:right="0" w:firstLine="15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8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EMPLOYEE BENEFIT EXPENSES</w:t>
      </w:r>
    </w:p>
    <w:p>
      <w:pPr>
        <w:pStyle w:val="TextBody"/>
        <w:bidi w:val="0"/>
        <w:spacing w:before="0" w:after="0"/>
        <w:ind w:left="28" w:right="0" w:firstLine="4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eligible employees of the Group are entitled to staff welfare benefits including medical care, welfare subsidies, unemployment insurance and pension benefits through a PRC government-mandated multi-employer defined contribution plan. The Group is required to make contributions to the plan and accrues these benefits based on certain percentages of the qualified employees’ salaries. The Group recorded employee benefit expenses of RMB 2,529 and RMB 2,943 (US$419) for the years ended December 31, 2024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in the Cayman Islands and conducts its primary business operations through the subsidiaries in the PRC and Hong Kong. Under the current laws of the Cayman Islands, the Cayman Islands levies no taxes on individuals or corporations based upon profits, income, gains or appreciation and the Company is therefore not subject to tax on income or capital gains arising in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British Virgin Islands are not subject to tax on income or capital gains under the current laws of the British Virgin Islands. Additionally, upon payments of dividends by the Company to its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in Hong Kong are subject to a two-tiered income tax rate for taxable income earned in Hong Kong. The first 2,000 Hong Kong dollars of profits earned by a company is subject to be taxed at an income tax rate of 8.25%, while the remaining profits will continue to be taxed at the existing tax rate of 16.5%. No provision for Hong Kong profits tax has been made in the consolidated financial statements as it has no assessable profit for the years ended December 31, 2024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in Thailand are subject to corporate income tax on taxable profits earned in Thailand. The standard corporate income tax rate is 20%. For small and medium enterprises (“SMEs”), a progressive tax rate applies: profits not exceeding 300,000 Thai Baht are exempt from tax; profits between 300,001 and 3,000,000 Thai Baht are taxed at 15%; and profits exceeding 3,000,000 Thai Baht are taxed at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are incorporated in the PRC and subject to the statutory rate of 25% on the taxable income in accordance with the Enterprise Income Tax Law (the “EIT Law”), which was effective since January 1, 2008, except for certain entities eligible for preferential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 also provides that enterprises established under the laws of foreign countries or regions and whose “place of effective management” is located within the PRC are considered PRC tax resident enterprises and subject to PRC income tax at the rate of 25% on worldwide income. The definition of “place of effective management” refers to an establishment that exercises, in substance, overall management and control over the production and business, personnel, accounting, properties, etc. of an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administrative practice associated with interpreting and applying the concept of “place of effective management” is unclear. If the Company is deemed as a PRC tax resident, it will be subject to 25% PRC enterprise income tax under the EIT Law on its worldwide income, meanwhile the dividend it receives from another PRC tax resident company will be exempted from 25% PRC income tax. The Company will continue to monitor changes in the interpretation or guidance of this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 consisted of:</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845"/>
        <w:gridCol w:w="90"/>
        <w:gridCol w:w="90"/>
        <w:gridCol w:w="680"/>
        <w:gridCol w:w="110"/>
        <w:gridCol w:w="90"/>
        <w:gridCol w:w="90"/>
        <w:gridCol w:w="680"/>
        <w:gridCol w:w="110"/>
        <w:gridCol w:w="90"/>
        <w:gridCol w:w="90"/>
        <w:gridCol w:w="680"/>
        <w:gridCol w:w="155"/>
      </w:tblGrid>
      <w:tr>
        <w:trPr/>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Non-PRC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(72,420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(10,303</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(56,362</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(80,478</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(11,449</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composition of income tax expenses for the years ended December 31, 2024 and 2025:</w:t>
      </w:r>
    </w:p>
    <w:p>
      <w:pPr>
        <w:pStyle w:val="TextBody"/>
        <w:bidi w:val="0"/>
        <w:spacing w:before="0" w:after="0"/>
        <w:ind w:left="0" w:right="0" w:hanging="0"/>
        <w:jc w:val="left"/>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2825"/>
        <w:gridCol w:w="90"/>
        <w:gridCol w:w="258"/>
        <w:gridCol w:w="362"/>
        <w:gridCol w:w="104"/>
        <w:gridCol w:w="104"/>
        <w:gridCol w:w="104"/>
        <w:gridCol w:w="682"/>
        <w:gridCol w:w="104"/>
        <w:gridCol w:w="104"/>
        <w:gridCol w:w="104"/>
        <w:gridCol w:w="474"/>
        <w:gridCol w:w="135"/>
      </w:tblGrid>
      <w:tr>
        <w:trPr/>
        <w:tc>
          <w:tcPr>
            <w:tcW w:w="2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3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5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5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3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income tax expense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right"/>
              <w:rPr>
                <w:b/>
              </w:rPr>
            </w:pPr>
            <w:r>
              <w:rPr>
                <w:b/>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w:t>
            </w:r>
          </w:p>
        </w:tc>
        <w:tc>
          <w:tcPr>
            <w:tcW w:w="13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 expense</w:t>
            </w:r>
          </w:p>
        </w:tc>
        <w:tc>
          <w:tcPr>
            <w:tcW w:w="90"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362"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474"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6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effective tax rate and the statutory income tax rate applicable to PRC operations was as follow:</w:t>
      </w:r>
    </w:p>
    <w:p>
      <w:pPr>
        <w:pStyle w:val="TextBody"/>
        <w:bidi w:val="0"/>
        <w:spacing w:before="0" w:after="0"/>
        <w:ind w:left="0" w:right="0" w:hanging="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5045"/>
        <w:gridCol w:w="90"/>
        <w:gridCol w:w="90"/>
        <w:gridCol w:w="680"/>
        <w:gridCol w:w="110"/>
        <w:gridCol w:w="90"/>
        <w:gridCol w:w="90"/>
        <w:gridCol w:w="680"/>
        <w:gridCol w:w="110"/>
        <w:gridCol w:w="90"/>
        <w:gridCol w:w="90"/>
        <w:gridCol w:w="680"/>
        <w:gridCol w:w="155"/>
      </w:tblGrid>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provision for income taxes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(56,362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(80,478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computed at an applicable tax rate of 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different tax rate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23,399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3,328</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 of assets and liabilities for financial reporting purposes and the amounts used for income tax purposes. Significant components of the Group’s deferred tax assets and deferred tax liabilities were as follows: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2765"/>
        <w:gridCol w:w="90"/>
        <w:gridCol w:w="90"/>
        <w:gridCol w:w="680"/>
        <w:gridCol w:w="110"/>
        <w:gridCol w:w="90"/>
        <w:gridCol w:w="90"/>
        <w:gridCol w:w="680"/>
        <w:gridCol w:w="110"/>
        <w:gridCol w:w="90"/>
        <w:gridCol w:w="90"/>
        <w:gridCol w:w="575"/>
        <w:gridCol w:w="155"/>
      </w:tblGrid>
      <w:tr>
        <w:trPr/>
        <w:tc>
          <w:tcPr>
            <w:tcW w:w="2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w:t>
            </w:r>
          </w:p>
        </w:tc>
        <w:tc>
          <w:tcPr>
            <w:tcW w:w="1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5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Deferred tax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and prior year tax losses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45,483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9,818</w:t>
            </w:r>
          </w:p>
        </w:tc>
        <w:tc>
          <w:tcPr>
            <w:tcW w:w="15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for credit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5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deferred tax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45,483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69,240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9,851</w:t>
            </w:r>
          </w:p>
        </w:tc>
        <w:tc>
          <w:tcPr>
            <w:tcW w:w="15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valuation allowance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(45,483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(69,240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Deferred tax assets,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Realization of the net deferred tax assets is dependent on factors including future reversals of existing taxable temporary differences and adequate future taxable income, exclusive of reversing deductible temporary differences and tax loss carry forwards. The Group evaluates the potential realization of deferred tax assets on an entity-by-entity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valuation allowances were mainly provided against deferred tax assets caused by net operating losses carried forward in entities where it was determined that it was more likely than not that the benefits of the deferred tax assets will not be realized due to their recurring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PRC tax regulations, the PRC net operating loss can generally carry forward for no longer than five years starting from the year subsequent to the year in which the loss was incurred. Carryback of losses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net operating tax loss carry forwards in PRC is expected to expire as follows:</w:t>
      </w:r>
    </w:p>
    <w:p>
      <w:pPr>
        <w:pStyle w:val="TextBody"/>
        <w:bidi w:val="0"/>
        <w:spacing w:before="0" w:after="0"/>
        <w:ind w:left="0" w:right="0" w:firstLine="360"/>
        <w:jc w:val="left"/>
        <w:rPr>
          <w:caps w:val="false"/>
          <w:smallCaps w:val="false"/>
        </w:rPr>
      </w:pPr>
      <w:r>
        <w:rPr>
          <w:caps w:val="false"/>
          <w:smallCaps w:val="false"/>
        </w:rPr>
        <w:t> </w:t>
      </w:r>
    </w:p>
    <w:tbl>
      <w:tblPr>
        <w:tblW w:w="3336" w:type="dxa"/>
        <w:jc w:val="left"/>
        <w:tblInd w:w="0" w:type="dxa"/>
        <w:tblLayout w:type="fixed"/>
        <w:tblCellMar>
          <w:top w:w="0" w:type="dxa"/>
          <w:left w:w="0" w:type="dxa"/>
          <w:bottom w:w="0" w:type="dxa"/>
          <w:right w:w="0" w:type="dxa"/>
        </w:tblCellMar>
      </w:tblPr>
      <w:tblGrid>
        <w:gridCol w:w="545"/>
        <w:gridCol w:w="90"/>
        <w:gridCol w:w="121"/>
        <w:gridCol w:w="1122"/>
        <w:gridCol w:w="121"/>
        <w:gridCol w:w="121"/>
        <w:gridCol w:w="121"/>
        <w:gridCol w:w="960"/>
        <w:gridCol w:w="135"/>
      </w:tblGrid>
      <w:tr>
        <w:trPr/>
        <w:tc>
          <w:tcPr>
            <w:tcW w:w="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3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11,465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1,631</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2027</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39,695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5,647</w:t>
            </w:r>
          </w:p>
        </w:tc>
        <w:tc>
          <w:tcPr>
            <w:tcW w:w="13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26,870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3,823</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2029</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62,872</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8,945</w:t>
            </w:r>
          </w:p>
        </w:tc>
        <w:tc>
          <w:tcPr>
            <w:tcW w:w="13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2030</w:t>
            </w:r>
          </w:p>
        </w:tc>
        <w:tc>
          <w:tcPr>
            <w:tcW w:w="9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111,121</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15,809</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1"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tcMar>
              <w:bottom w:w="28" w:type="dxa"/>
            </w:tcMar>
            <w:vAlign w:val="center"/>
          </w:tcPr>
          <w:p>
            <w:pPr>
              <w:pStyle w:val="TableContents"/>
              <w:bidi w:val="0"/>
              <w:spacing w:before="0" w:after="283"/>
              <w:jc w:val="right"/>
              <w:rPr>
                <w:b/>
              </w:rPr>
            </w:pPr>
            <w:r>
              <w:rPr>
                <w:b/>
              </w:rPr>
              <w:t>252,023</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bottom w:val="double" w:sz="10" w:space="0" w:color="000000"/>
            </w:tcBorders>
            <w:tcMar>
              <w:bottom w:w="28" w:type="dxa"/>
            </w:tcMar>
            <w:vAlign w:val="center"/>
          </w:tcPr>
          <w:p>
            <w:pPr>
              <w:pStyle w:val="TableContents"/>
              <w:bidi w:val="0"/>
              <w:spacing w:before="0" w:after="283"/>
              <w:jc w:val="left"/>
              <w:rPr/>
            </w:pPr>
            <w:r>
              <w:rPr/>
              <w:t> </w:t>
            </w:r>
          </w:p>
        </w:tc>
        <w:tc>
          <w:tcPr>
            <w:tcW w:w="960" w:type="dxa"/>
            <w:tcBorders>
              <w:bottom w:val="double" w:sz="10" w:space="0" w:color="000000"/>
            </w:tcBorders>
            <w:tcMar>
              <w:bottom w:w="28" w:type="dxa"/>
            </w:tcMar>
            <w:vAlign w:val="center"/>
          </w:tcPr>
          <w:p>
            <w:pPr>
              <w:pStyle w:val="TableContents"/>
              <w:bidi w:val="0"/>
              <w:spacing w:before="0" w:after="283"/>
              <w:jc w:val="right"/>
              <w:rPr>
                <w:b/>
              </w:rPr>
            </w:pPr>
            <w:r>
              <w:rPr>
                <w:b/>
              </w:rPr>
              <w:t>35,855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2024 and 2025, the Group did not have any significant unrecognized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accrue any liability, interest or penalties related to uncertain tax positions in its provision for income taxes line of its consolidated statements of operations for the years ended December 31,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Regulations on Enterprises with Foreign Investment of China, a foreign invested enterprise established in the PRC is required to provide certain statutory reserves, namely general reserve fund, enterprise expansion fund, and staff welfare and bonus fund which are appropriated from net profit as reported in the enterprise’s PRC statutory accounts, which is included in retained earnings accounts in equity section of the consolidated balance sheets. A wholly foreign owned invested enterprise is required to allocate at least 10% of its annual after-tax profit to the general reserve until such reserve reaches 50% of its respective registered capital based on the enterprise’s PRC statutory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incurs debt on its own behalf in the future, the instruments governing the debt may restrict its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accordance with the Company Law of the PRC, a domestic enterprise is required to provide a statutory common reserve of at least 10% of its annual after-tax profit until such reserve reaches 50% of its respective registered capital based on the enterprise’s PRC statutory accounts. The Group’s provision for the statutory common reserve is in compliance with the aforementioned requirement of the Company Law. A domestic enterprise is also required to provide for discretionary surplus reserve, at the discretion of the board of directors, from the profits determined in accordance with the enterprise’s PRC statutory accounts. The aforementioned reserves can only be used for specific purposes and are not distributable as cash dividends. For the years ended December 31, 2024 and 2025, the PRC subsidiaries did not have after-tax profit, and therefore, no statutory reserves were allocated.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Group’s entities in the PRC can only be paid out of distributable profits reported in accordance with PRC accounting standards, the Group’s entities in the PRC are restricted from transferring a portion of their net assets to the Company. The restricted amounts include the paid-in capital and additional paid-in capital of the Group’s entities in the PRC. The aggregate amount of paid-in capital and additional paid-in capital, which is the amount of net assets of the Group’s entities in the PRC (mainland) not available for distribution, were RMB818,712 and RMB503,997 (US$71,705) as of December 31, 2024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 per share for the years presented were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65"/>
        <w:gridCol w:w="90"/>
        <w:gridCol w:w="90"/>
        <w:gridCol w:w="875"/>
        <w:gridCol w:w="110"/>
        <w:gridCol w:w="90"/>
        <w:gridCol w:w="90"/>
        <w:gridCol w:w="875"/>
        <w:gridCol w:w="110"/>
        <w:gridCol w:w="90"/>
        <w:gridCol w:w="90"/>
        <w:gridCol w:w="875"/>
        <w:gridCol w:w="155"/>
      </w:tblGrid>
      <w:tr>
        <w:trPr/>
        <w:tc>
          <w:tcPr>
            <w:tcW w:w="6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2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(56,362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(80,478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attributable to noncontrolling interest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the Company’s shareholders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(47,922</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(68,720</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(9,776</w:t>
            </w:r>
          </w:p>
        </w:tc>
        <w:tc>
          <w:tcPr>
            <w:tcW w:w="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used in calculating basic and diluted earnings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2,854,594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4,567,460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4,567,460</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earnings per share: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(16.79</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(15.05</w:t>
            </w:r>
          </w:p>
        </w:tc>
        <w:tc>
          <w:tcPr>
            <w:tcW w:w="1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Group’s contractual obligations as of December 31, 2025:</w:t>
      </w:r>
    </w:p>
    <w:p>
      <w:pPr>
        <w:pStyle w:val="TextBody"/>
        <w:bidi w:val="0"/>
        <w:spacing w:before="0" w:after="0"/>
        <w:ind w:left="0" w:right="0" w:firstLine="360"/>
        <w:jc w:val="left"/>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4010"/>
        <w:gridCol w:w="90"/>
        <w:gridCol w:w="90"/>
        <w:gridCol w:w="620"/>
        <w:gridCol w:w="90"/>
        <w:gridCol w:w="90"/>
        <w:gridCol w:w="90"/>
        <w:gridCol w:w="515"/>
        <w:gridCol w:w="90"/>
        <w:gridCol w:w="90"/>
        <w:gridCol w:w="107"/>
        <w:gridCol w:w="738"/>
        <w:gridCol w:w="90"/>
        <w:gridCol w:w="90"/>
        <w:gridCol w:w="123"/>
        <w:gridCol w:w="706"/>
        <w:gridCol w:w="90"/>
        <w:gridCol w:w="90"/>
        <w:gridCol w:w="162"/>
        <w:gridCol w:w="667"/>
        <w:gridCol w:w="90"/>
        <w:gridCol w:w="90"/>
        <w:gridCol w:w="420"/>
        <w:gridCol w:w="515"/>
        <w:gridCol w:w="135"/>
      </w:tblGrid>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53"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due by period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br/>
              <w:t>1 year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years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years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br/>
              <w:t>5 years</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bank borrowings (i)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7"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73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7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667"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third parties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7"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(ii)</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73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6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settlement(iii)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43,506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tcMar>
              <w:bottom w:w="28" w:type="dxa"/>
            </w:tcMar>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Group’s long-term bank borrowings and short-term bank borrowings as of December 31, 2025 is discussed in Note 13 BANK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Group’s commitment for minimum lease payments under the remaining operating leases as of December 31, 2025 is discussed in Note 15 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Group’s commitment for payable under the other current liabilities as of December 31, 2025 is discussed in Note 14 ACCRUED EXPENSES AND OTHER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shown above, we did not have any significant capital and other commitments, long-term obligations or guarantees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legal proceedings and regulatory actions in the ordinary course of business. The results of such proceedings cannot be predicted with certainty, but the Group does not anticipate that the final outcome arising out of any such matter will have a material adverse effect on the Group’s consolidated business, financial position, cash flows or results of operations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Quanzhou Youyi Power Exchange Network Technology Co., Ltd., Youpin SD and SH Youxu were sued by Quanzhou Meibiaoyouxin Automobile Sales Service Co., Ltd. for payment of RMB700 (US$96) and liquidated damages on January 16, 2024. The initial hearing was held on March 22, 2024. Youpin SD lost the case and appealed to the court on July 25, 2024. On November 8, 2024, the Quanzhou Intermediate People’s Court has revoked the original judgment and remanded the case for retrial. A retrial hearing of second instance was held on January 9, 2026, and the judgment is currently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AHYS, Shanghai Youcang Business Consulting Partnership (Limited Partnership), and Li Jia were sued by Zhuji Huarui Wenhua Equity Investment Partnership (Limited Partnership), Zhuji Huarui Torch Venture Capital Investment Partnership (Limited Partnership), and Zhuji Fuhui Industrial Transformation and Upgrading Investment Fund Partnership (Limited Partnership). The plaintiffs requested the court to order the defendants to jointly pay the investment exit amount of RMB10,000 (US$1,430), along with overdue payment penalties (calculated based on RMB10 (US$1) at the prevailing one-year loan prime rate of banks, from January 1, 2024, to the actual payment date, and the litigation costs. On October 24, 2025, the court of first instance ruled in favor of the plaintiffs. On January 6, 2026, the court of second instance upheld the judgment rendered by the court of first instance.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Wuhu High-Tech Industrial Development Zone Administrative Committee has issued an administrative decision to Youpin on August 29, 2024, which requires Youpin to return a rental subsidy with respect to a factory lease of RMB3,000 (US$429). Youpin has applied for administrative reconsideration and subsequently filed a lawsuit. Both the administrative reconsideration and administrative litigation proceedings upheld the administrative decision. As of the date of this annual report, Youpin has not returned the RMB3,000 rental subsidy.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 Youxu and Youxu New Energy Technology (Nanyang) Co., Ltd. were sued by Shanghai Jiehuan Intelligent Technology Co., Ltd. for joint payment of RMB5,800 (US$828) of the goods payment for the battery swap station. The Company was added as a third party by the Shanghai Songjiang District People’s Court on August 12, 2025. On April 13, 2026, the court rendered the first-instance judgment, ordering the defendants to jointly and severally pay the plaintiff goods payment of RMB5,800 (US$828).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Youxu (Xiamen) Power Exchange Network Technology Co., Ltd. and Youpin SD were sued by Yidong New Energy Technology Co., Ltd. for battery depreciation deduction of RMB1,499 (US$213), battery breach liquidated damages of RMB414 (US$59), leasing service fees and overdue payment liquidated damages, with Youpin SD bearing joint and several guarantee liability. The case was filed on March 5, 2026, and a court hearing was held on May 20, 2026. The defendants are currently in negotiations with the plaintiff regarding a revised mediation proposal.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2020 to November 2021, Youguan Financial Leasing provided a total of RMB5,869 (US$827) guarantee to its four customers who entered into two five-year guarantees and two four-year guarantees. As of the date of this annual report, the balance of the guarantees were RMB783 (US$111).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Zibo Hengsong You Car Equity Investment Fund Partnership (Limited Partnership) (“Zibo Hengsong”) has sued Youpin SD, AHYS, WFOE, and Mr. Jia Li. The plaintiff requested the defendants to repurchase the 13.0435% equity interest in Youpin SD and jointly pay the equity repurchase price of RMB240,000 (US$34,320) plus interest (temporarily calculated at RMB78,220 (US$11,185)). The defendants filed a counterclaim demanding that the plaintiff transfer the 13.0435% equity interest in Youpin SD to the defendants at a consideration of RMB1. On December 22, 2025, the Zibo Intermediate People’s Court rendered a judgment, ordering AHYS and Mr. Jia Li to jointly pay Zibo Hengsong equity repurchase proceeds of RMB312,374 (US$44,678) plus interest accruing from January 11, 2025 to the date of actual payment (calculated on a principal amount of RMB240,000 at an annual interest rate of 8%); ordering Youpin SD to bear joint and several liability for such payment obligations; ordering WFOE to bear joint and several liability for AHYS’s payment obligations; and dismissing the defendants’ counterclaim in its entirety. In connection with the foregoing proceedings, the Zibo Intermediate People’s Court has frozen certain equity interests held by AHYS, Mr. Jia Li, and certain related entities, including, among others, AHYS’s equity interests in Youpin Automobile Service Group Co., Ltd. and Shanghai Youxu New Energy Technology Co., Ltd., Mr. Jia Li’s equity interests in Shanghai Youyi Jia New Energy Technology Partnership (Limited Partnership) and Shanghai Youcang Business Consulting Partnership (Limited Partnership), and equity interests held by AHYS and certain related entities in certain of our PRC subsidiaries, including Youpin, Youpin SD, SH Youteng, SH Youxu, and CD Youyineng, with the frozen equity interests ranging in value from approximately RMB104 to RMB100,000 per interest, and the freezing orders are to remain in effect through February or March 2028. On January 8, 2026, Youpin SD, AHYS, Mr. Jia Li, and WFOE filed an appeal with the Shandong High People’s Court, requesting that the first instance judgment be reversed and that all of Zibo Hengsong’s claims be dismissed. As of the date of this annual report, the case is under trial before the court of the second instance.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effectuated a consolidation of all of the Company’s authorized issued and unissued ordinary shares on a 10:1 basis to take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UNAUDITED CONDENSED FINANCIAL INFORMATION OF THE PARENT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are restricted in their ability to transfer a portion of their net assets to the Company. The payment of dividends by entities organized in the PRC is subject to limitations, procedures and formalities. Regulations in the PRC currently permit payment of dividends only out of accumulated profits as determined in accordance with accounting standards and regulations in the PRC. The Company’s subsidiaries are also required to set aside at least 10% of its after-tax profit based on PRC accounting standards each year to its statutory reserves account until the accumulative amount of such reserves reaches 50% of its respective registered capital. The aforementioned reserves can only be used for specific purposes and are not distributable as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operations and revenues are conducted and generated in the PRC, and all of the Company’s revenues earned and currency received are denominated in RMB. RMB is subject to the foreign exchange control regulation in China, and, as a result, the Company may be unable to distribute any dividends outside of China due to PRC foreign exchange control regulations that restrict the Company’s ability to convert RMB into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S-X requires the condensed financial information of registrant shall be filed when the restricted net assets of consolidated subsidiaries exceed 25 percent of consolidated net assets as of the end of the most recently completed fiscal year. For purposes of the above test, restricted net assets of consolidated subsidiaries shall mean that the amount of the registrant’s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 The condensed parent company financial statements have been prepared in accordance with Rule 12-04, Schedule I of Regulation S-X as the restricted net assets of the Company’s PRC subsidiary exceed 25% of the consolidated net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prepared in conformity with generally accepted accounting principles have been condensed or omitted. The Company’s investment in its subsidiaries is stated at cost plus equity in undistributed earnings of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financial information has been prepared using the same accounting policies as set out in the consolidated financial statements except that the equity method has been used to account for investments in its subsidiaries. For the parent company, the Group records its investments in subsidiaries similar to the equity method of accounting as prescribed in ASC 323, Investments—Equity Method and Joint Ventures. Such investments are presented on the Condensed Balance Sheets as “Investments in subsidiaries” and the subsidiaries’ loss as “Equity in losses of subsidiaries” on the Condensed Statements of Comprehensive Loss. The condensed financial information presented in the parent company’s financial statements equal the corresponding amounts attributable to the parent company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9027201ex8-1.htm"/>
      <w:bookmarkStart w:id="46" w:name="ksea029027201ex81"/>
      <w:bookmarkEnd w:id="45"/>
      <w:bookmarkEnd w:id="46"/>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Principal Subsidiaries of the Registrant</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82"/>
        <w:gridCol w:w="60"/>
        <w:gridCol w:w="1561"/>
        <w:gridCol w:w="60"/>
        <w:gridCol w:w="1535"/>
        <w:gridCol w:w="60"/>
        <w:gridCol w:w="1145"/>
        <w:gridCol w:w="60"/>
        <w:gridCol w:w="3142"/>
      </w:tblGrid>
      <w:tr>
        <w:trPr/>
        <w:tc>
          <w:tcPr>
            <w:tcW w:w="2582" w:type="dxa"/>
            <w:tcBorders>
              <w:bottom w:val="single" w:sz="12" w:space="0" w:color="000000"/>
            </w:tcBorders>
            <w:vAlign w:val="center"/>
          </w:tcPr>
          <w:p>
            <w:pPr>
              <w:pStyle w:val="TableContents"/>
              <w:bidi w:val="0"/>
              <w:spacing w:before="0" w:after="283"/>
              <w:jc w:val="left"/>
              <w:rPr>
                <w:b/>
              </w:rPr>
            </w:pPr>
            <w:r>
              <w:rPr>
                <w:b/>
              </w:rPr>
              <w:t>Entity</w:t>
            </w:r>
          </w:p>
        </w:tc>
        <w:tc>
          <w:tcPr>
            <w:tcW w:w="60" w:type="dxa"/>
            <w:tcBorders/>
            <w:tcMar>
              <w:bottom w:w="0" w:type="dxa"/>
            </w:tcMar>
            <w:vAlign w:val="center"/>
          </w:tcPr>
          <w:p>
            <w:pPr>
              <w:pStyle w:val="TableContents"/>
              <w:bidi w:val="0"/>
              <w:spacing w:before="0" w:after="283"/>
              <w:jc w:val="left"/>
              <w:rPr/>
            </w:pPr>
            <w:r>
              <w:rPr/>
              <w:t> </w:t>
            </w:r>
          </w:p>
        </w:tc>
        <w:tc>
          <w:tcPr>
            <w:tcW w:w="1561" w:type="dxa"/>
            <w:tcBorders>
              <w:bottom w:val="single" w:sz="12" w:space="0" w:color="000000"/>
            </w:tcBorders>
            <w:vAlign w:val="center"/>
          </w:tcPr>
          <w:p>
            <w:pPr>
              <w:pStyle w:val="TableContents"/>
              <w:bidi w:val="0"/>
              <w:spacing w:before="0" w:after="283"/>
              <w:jc w:val="center"/>
              <w:rPr>
                <w:b/>
              </w:rPr>
            </w:pPr>
            <w:r>
              <w:rPr>
                <w:b/>
              </w:rPr>
              <w:t>Date of</w:t>
              <w:br/>
              <w:t>incorporation/</w:t>
              <w:br/>
              <w:t>acquisition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rPr>
            </w:pPr>
            <w:r>
              <w:rPr>
                <w:b/>
              </w:rPr>
              <w:t>Place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12" w:space="0" w:color="000000"/>
            </w:tcBorders>
            <w:vAlign w:val="center"/>
          </w:tcPr>
          <w:p>
            <w:pPr>
              <w:pStyle w:val="TableContents"/>
              <w:bidi w:val="0"/>
              <w:spacing w:before="0" w:after="283"/>
              <w:jc w:val="center"/>
              <w:rPr>
                <w:b/>
              </w:rPr>
            </w:pPr>
            <w:r>
              <w:rPr>
                <w:b/>
              </w:rPr>
              <w:t>Percentage</w:t>
              <w:br/>
              <w:t>of direct</w:t>
              <w:br/>
              <w:t>or indirect</w:t>
              <w:br/>
              <w:t>ownership</w:t>
              <w:br/>
              <w:t>by the</w:t>
              <w:br/>
              <w:t>Company</w:t>
            </w:r>
          </w:p>
        </w:tc>
        <w:tc>
          <w:tcPr>
            <w:tcW w:w="60" w:type="dxa"/>
            <w:tcBorders/>
            <w:tcMar>
              <w:bottom w:w="0" w:type="dxa"/>
            </w:tcMar>
            <w:vAlign w:val="center"/>
          </w:tcPr>
          <w:p>
            <w:pPr>
              <w:pStyle w:val="TableContents"/>
              <w:bidi w:val="0"/>
              <w:spacing w:before="0" w:after="283"/>
              <w:jc w:val="left"/>
              <w:rPr/>
            </w:pPr>
            <w:r>
              <w:rPr/>
              <w:t> </w:t>
            </w:r>
          </w:p>
        </w:tc>
        <w:tc>
          <w:tcPr>
            <w:tcW w:w="3142" w:type="dxa"/>
            <w:tcBorders>
              <w:bottom w:val="single" w:sz="12" w:space="0" w:color="000000"/>
            </w:tcBorders>
            <w:vAlign w:val="center"/>
          </w:tcPr>
          <w:p>
            <w:pPr>
              <w:pStyle w:val="TableContents"/>
              <w:bidi w:val="0"/>
              <w:spacing w:before="0" w:after="283"/>
              <w:jc w:val="center"/>
              <w:rPr>
                <w:b/>
              </w:rPr>
            </w:pPr>
            <w:r>
              <w:rPr>
                <w:b/>
              </w:rPr>
              <w:t>Principal activities</w:t>
            </w:r>
          </w:p>
        </w:tc>
      </w:tr>
      <w:tr>
        <w:trPr/>
        <w:tc>
          <w:tcPr>
            <w:tcW w:w="2582" w:type="dxa"/>
            <w:tcBorders/>
            <w:tcMar>
              <w:bottom w:w="0" w:type="dxa"/>
            </w:tcMar>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5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42" w:type="dxa"/>
            <w:tcBorders/>
            <w:tcMar>
              <w:bottom w:w="0" w:type="dxa"/>
            </w:tcMar>
            <w:vAlign w:val="center"/>
          </w:tcPr>
          <w:p>
            <w:pPr>
              <w:pStyle w:val="TableContents"/>
              <w:bidi w:val="0"/>
              <w:spacing w:before="0" w:after="283"/>
              <w:ind w:left="0" w:right="0" w:hanging="200"/>
              <w:jc w:val="left"/>
              <w:rPr/>
            </w:pPr>
            <w:r>
              <w:rPr/>
              <w:t> </w:t>
            </w:r>
          </w:p>
        </w:tc>
      </w:tr>
      <w:tr>
        <w:trPr/>
        <w:tc>
          <w:tcPr>
            <w:tcW w:w="2582" w:type="dxa"/>
            <w:tcBorders/>
            <w:shd w:fill="CCEEFF" w:val="clear"/>
            <w:tcMar>
              <w:bottom w:w="0" w:type="dxa"/>
            </w:tcMar>
            <w:vAlign w:val="center"/>
          </w:tcPr>
          <w:p>
            <w:pPr>
              <w:pStyle w:val="TableContents"/>
              <w:bidi w:val="0"/>
              <w:spacing w:before="0" w:after="283"/>
              <w:jc w:val="left"/>
              <w:rPr/>
            </w:pPr>
            <w:r>
              <w:rPr/>
              <w:t>Youcang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June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British Virgin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Investment holding</w:t>
            </w:r>
          </w:p>
        </w:tc>
      </w:tr>
      <w:tr>
        <w:trPr/>
        <w:tc>
          <w:tcPr>
            <w:tcW w:w="2582" w:type="dxa"/>
            <w:tcBorders/>
            <w:shd w:fill="FFFFFF" w:val="clear"/>
            <w:tcMar>
              <w:bottom w:w="0" w:type="dxa"/>
            </w:tcMar>
            <w:vAlign w:val="center"/>
          </w:tcPr>
          <w:p>
            <w:pPr>
              <w:pStyle w:val="TableContents"/>
              <w:bidi w:val="0"/>
              <w:spacing w:before="0" w:after="283"/>
              <w:jc w:val="left"/>
              <w:rPr/>
            </w:pPr>
            <w:r>
              <w:rPr/>
              <w:t>Energy U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July 19,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Investment holding</w:t>
            </w:r>
          </w:p>
        </w:tc>
      </w:tr>
      <w:tr>
        <w:trPr/>
        <w:tc>
          <w:tcPr>
            <w:tcW w:w="2582" w:type="dxa"/>
            <w:tcBorders/>
            <w:shd w:fill="CCEEFF" w:val="clear"/>
            <w:tcMar>
              <w:bottom w:w="0" w:type="dxa"/>
            </w:tcMar>
            <w:vAlign w:val="center"/>
          </w:tcPr>
          <w:p>
            <w:pPr>
              <w:pStyle w:val="TableContents"/>
              <w:bidi w:val="0"/>
              <w:spacing w:before="0" w:after="283"/>
              <w:jc w:val="left"/>
              <w:rPr/>
            </w:pPr>
            <w:r>
              <w:rPr/>
              <w:t>Shandong Yousheng New Energy Technology Development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January 27,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technical and consultation services</w:t>
            </w:r>
          </w:p>
        </w:tc>
      </w:tr>
      <w:tr>
        <w:trPr/>
        <w:tc>
          <w:tcPr>
            <w:tcW w:w="2582" w:type="dxa"/>
            <w:tcBorders/>
            <w:shd w:fill="FFFFFF" w:val="clear"/>
            <w:tcMar>
              <w:bottom w:w="0" w:type="dxa"/>
            </w:tcMar>
            <w:vAlign w:val="center"/>
          </w:tcPr>
          <w:p>
            <w:pPr>
              <w:pStyle w:val="TableContents"/>
              <w:bidi w:val="0"/>
              <w:spacing w:before="0" w:after="283"/>
              <w:jc w:val="left"/>
              <w:rPr/>
            </w:pPr>
            <w:r>
              <w:rPr/>
              <w:t>Anhui Yousheng New Energy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May 16, 2013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Dormant Company</w:t>
            </w:r>
          </w:p>
        </w:tc>
      </w:tr>
      <w:tr>
        <w:trPr/>
        <w:tc>
          <w:tcPr>
            <w:tcW w:w="2582" w:type="dxa"/>
            <w:tcBorders/>
            <w:shd w:fill="CCEEFF" w:val="clear"/>
            <w:tcMar>
              <w:bottom w:w="0" w:type="dxa"/>
            </w:tcMar>
            <w:vAlign w:val="center"/>
          </w:tcPr>
          <w:p>
            <w:pPr>
              <w:pStyle w:val="TableContents"/>
              <w:bidi w:val="0"/>
              <w:spacing w:before="0" w:after="283"/>
              <w:jc w:val="left"/>
              <w:rPr/>
            </w:pPr>
            <w:r>
              <w:rPr/>
              <w:t>Youpin Automobile Service Group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July 18,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new energy vehicles sales, battery swapping stations sales, battery swapping services and sourcing services</w:t>
            </w:r>
          </w:p>
        </w:tc>
      </w:tr>
      <w:tr>
        <w:trPr/>
        <w:tc>
          <w:tcPr>
            <w:tcW w:w="2582" w:type="dxa"/>
            <w:tcBorders/>
            <w:shd w:fill="FFFFFF" w:val="clear"/>
            <w:tcMar>
              <w:bottom w:w="0" w:type="dxa"/>
            </w:tcMar>
            <w:vAlign w:val="center"/>
          </w:tcPr>
          <w:p>
            <w:pPr>
              <w:pStyle w:val="TableContents"/>
              <w:bidi w:val="0"/>
              <w:spacing w:before="0" w:after="283"/>
              <w:jc w:val="left"/>
              <w:rPr/>
            </w:pPr>
            <w:r>
              <w:rPr/>
              <w:t>Shanghai Youchuangneng Digital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November 13,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Provision of new energy vehicles sales, battery swapping stations sales, battery swapping services and sourcing services</w:t>
            </w:r>
          </w:p>
        </w:tc>
      </w:tr>
      <w:tr>
        <w:trPr/>
        <w:tc>
          <w:tcPr>
            <w:tcW w:w="2582" w:type="dxa"/>
            <w:tcBorders/>
            <w:shd w:fill="CCEEFF" w:val="clear"/>
            <w:tcMar>
              <w:bottom w:w="0" w:type="dxa"/>
            </w:tcMar>
            <w:vAlign w:val="center"/>
          </w:tcPr>
          <w:p>
            <w:pPr>
              <w:pStyle w:val="TableContents"/>
              <w:bidi w:val="0"/>
              <w:spacing w:before="0" w:after="283"/>
              <w:jc w:val="left"/>
              <w:rPr/>
            </w:pPr>
            <w:r>
              <w:rPr/>
              <w:t>Youguan Financial Leasing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February 27,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Dormant Company</w:t>
            </w:r>
          </w:p>
        </w:tc>
      </w:tr>
      <w:tr>
        <w:trPr/>
        <w:tc>
          <w:tcPr>
            <w:tcW w:w="2582" w:type="dxa"/>
            <w:tcBorders/>
            <w:shd w:fill="FFFFFF" w:val="clear"/>
            <w:tcMar>
              <w:bottom w:w="0" w:type="dxa"/>
            </w:tcMar>
            <w:vAlign w:val="center"/>
          </w:tcPr>
          <w:p>
            <w:pPr>
              <w:pStyle w:val="TableContents"/>
              <w:bidi w:val="0"/>
              <w:spacing w:before="0" w:after="283"/>
              <w:jc w:val="left"/>
              <w:rPr/>
            </w:pPr>
            <w:r>
              <w:rPr/>
              <w:t>Youpin Automobile Service (Shandong)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June 30,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86.96%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Provision of new energy vehicles sales and sourcing services</w:t>
            </w:r>
          </w:p>
        </w:tc>
      </w:tr>
      <w:tr>
        <w:trPr/>
        <w:tc>
          <w:tcPr>
            <w:tcW w:w="2582" w:type="dxa"/>
            <w:tcBorders/>
            <w:shd w:fill="CCEEFF" w:val="clear"/>
            <w:tcMar>
              <w:bottom w:w="0" w:type="dxa"/>
            </w:tcMar>
            <w:vAlign w:val="center"/>
          </w:tcPr>
          <w:p>
            <w:pPr>
              <w:pStyle w:val="TableContents"/>
              <w:bidi w:val="0"/>
              <w:spacing w:before="0" w:after="283"/>
              <w:jc w:val="left"/>
              <w:rPr/>
            </w:pPr>
            <w:r>
              <w:rPr/>
              <w:t>Chengdu Youyineng Automobile Service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October 29,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battery swapping stations manufacturing</w:t>
            </w:r>
          </w:p>
        </w:tc>
      </w:tr>
      <w:tr>
        <w:trPr/>
        <w:tc>
          <w:tcPr>
            <w:tcW w:w="2582" w:type="dxa"/>
            <w:tcBorders/>
            <w:shd w:fill="FFFFFF" w:val="clear"/>
            <w:tcMar>
              <w:bottom w:w="0" w:type="dxa"/>
            </w:tcMar>
            <w:vAlign w:val="center"/>
          </w:tcPr>
          <w:p>
            <w:pPr>
              <w:pStyle w:val="TableContents"/>
              <w:bidi w:val="0"/>
              <w:spacing w:before="0" w:after="283"/>
              <w:jc w:val="left"/>
              <w:rPr/>
            </w:pPr>
            <w:r>
              <w:rPr/>
              <w:t>Shanghai Youteng Automobile Service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November 3,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Dormant Company</w:t>
            </w:r>
          </w:p>
        </w:tc>
      </w:tr>
      <w:tr>
        <w:trPr/>
        <w:tc>
          <w:tcPr>
            <w:tcW w:w="2582" w:type="dxa"/>
            <w:tcBorders/>
            <w:shd w:fill="CCEEFF" w:val="clear"/>
            <w:tcMar>
              <w:bottom w:w="0" w:type="dxa"/>
            </w:tcMar>
            <w:vAlign w:val="center"/>
          </w:tcPr>
          <w:p>
            <w:pPr>
              <w:pStyle w:val="TableContents"/>
              <w:bidi w:val="0"/>
              <w:spacing w:before="0" w:after="283"/>
              <w:jc w:val="left"/>
              <w:rPr/>
            </w:pPr>
            <w:r>
              <w:rPr/>
              <w:t>Liaoning Youguan New Energy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November 8,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new energy vehicles sales and sourcing services</w:t>
            </w:r>
          </w:p>
        </w:tc>
      </w:tr>
      <w:tr>
        <w:trPr/>
        <w:tc>
          <w:tcPr>
            <w:tcW w:w="2582" w:type="dxa"/>
            <w:tcBorders/>
            <w:shd w:fill="FFFFFF" w:val="clear"/>
            <w:tcMar>
              <w:bottom w:w="0" w:type="dxa"/>
            </w:tcMar>
            <w:vAlign w:val="center"/>
          </w:tcPr>
          <w:p>
            <w:pPr>
              <w:pStyle w:val="TableContents"/>
              <w:bidi w:val="0"/>
              <w:spacing w:before="0" w:after="283"/>
              <w:jc w:val="left"/>
              <w:rPr/>
            </w:pPr>
            <w:r>
              <w:rPr/>
              <w:t>Shanghai Youxu New Energy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March 22,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Provision of battery swapping stations sales and battery swapping services</w:t>
            </w:r>
          </w:p>
        </w:tc>
      </w:tr>
      <w:tr>
        <w:trPr/>
        <w:tc>
          <w:tcPr>
            <w:tcW w:w="2582" w:type="dxa"/>
            <w:tcBorders/>
            <w:shd w:fill="CCEEFF" w:val="clear"/>
            <w:tcMar>
              <w:bottom w:w="0" w:type="dxa"/>
            </w:tcMar>
            <w:vAlign w:val="center"/>
          </w:tcPr>
          <w:p>
            <w:pPr>
              <w:pStyle w:val="TableContents"/>
              <w:bidi w:val="0"/>
              <w:spacing w:before="0" w:after="283"/>
              <w:jc w:val="left"/>
              <w:rPr/>
            </w:pPr>
            <w:r>
              <w:rPr/>
              <w:t>Quanzhou Youyi Power Exchange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June 29,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battery swapping services</w:t>
            </w:r>
          </w:p>
        </w:tc>
      </w:tr>
      <w:tr>
        <w:trPr/>
        <w:tc>
          <w:tcPr>
            <w:tcW w:w="2582" w:type="dxa"/>
            <w:tcBorders/>
            <w:shd w:fill="FFFFFF" w:val="clear"/>
            <w:tcMar>
              <w:bottom w:w="0" w:type="dxa"/>
            </w:tcMar>
            <w:vAlign w:val="center"/>
          </w:tcPr>
          <w:p>
            <w:pPr>
              <w:pStyle w:val="TableContents"/>
              <w:bidi w:val="0"/>
              <w:spacing w:before="0" w:after="283"/>
              <w:jc w:val="left"/>
              <w:rPr/>
            </w:pPr>
            <w:r>
              <w:rPr/>
              <w:t>Youxu New Energy Technology (Zibo)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July 29,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Provision of batter swapping stations manufacturing</w:t>
            </w:r>
          </w:p>
        </w:tc>
      </w:tr>
      <w:tr>
        <w:trPr/>
        <w:tc>
          <w:tcPr>
            <w:tcW w:w="2582" w:type="dxa"/>
            <w:tcBorders/>
            <w:shd w:fill="CCEEFF" w:val="clear"/>
            <w:tcMar>
              <w:bottom w:w="0" w:type="dxa"/>
            </w:tcMar>
            <w:vAlign w:val="center"/>
          </w:tcPr>
          <w:p>
            <w:pPr>
              <w:pStyle w:val="TableContents"/>
              <w:bidi w:val="0"/>
              <w:spacing w:before="0" w:after="283"/>
              <w:jc w:val="left"/>
              <w:rPr/>
            </w:pPr>
            <w:r>
              <w:rPr/>
              <w:t>Youxu (Xiamen) Power Exchange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August 10,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battery swapping services</w:t>
            </w:r>
          </w:p>
        </w:tc>
      </w:tr>
      <w:tr>
        <w:trPr/>
        <w:tc>
          <w:tcPr>
            <w:tcW w:w="2582" w:type="dxa"/>
            <w:tcBorders/>
            <w:shd w:fill="FFFFFF" w:val="clear"/>
            <w:tcMar>
              <w:bottom w:w="0" w:type="dxa"/>
            </w:tcMar>
            <w:vAlign w:val="center"/>
          </w:tcPr>
          <w:p>
            <w:pPr>
              <w:pStyle w:val="TableContents"/>
              <w:bidi w:val="0"/>
              <w:spacing w:before="0" w:after="283"/>
              <w:jc w:val="left"/>
              <w:rPr/>
            </w:pPr>
            <w:r>
              <w:rPr/>
              <w:t>Wuhu Youxu New Energy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November 12,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Provision of batter swapping stations manufacturing</w:t>
            </w:r>
          </w:p>
        </w:tc>
      </w:tr>
      <w:tr>
        <w:trPr/>
        <w:tc>
          <w:tcPr>
            <w:tcW w:w="2582" w:type="dxa"/>
            <w:tcBorders/>
            <w:shd w:fill="CCEEFF" w:val="clear"/>
            <w:tcMar>
              <w:bottom w:w="0" w:type="dxa"/>
            </w:tcMar>
            <w:vAlign w:val="center"/>
          </w:tcPr>
          <w:p>
            <w:pPr>
              <w:pStyle w:val="TableContents"/>
              <w:bidi w:val="0"/>
              <w:spacing w:before="0" w:after="283"/>
              <w:jc w:val="left"/>
              <w:rPr/>
            </w:pPr>
            <w:r>
              <w:rPr/>
              <w:t>Henan Youxu New Energy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December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Dormant Company</w:t>
            </w:r>
          </w:p>
        </w:tc>
      </w:tr>
      <w:tr>
        <w:trPr/>
        <w:tc>
          <w:tcPr>
            <w:tcW w:w="2582" w:type="dxa"/>
            <w:tcBorders/>
            <w:shd w:fill="FFFFFF" w:val="clear"/>
            <w:tcMar>
              <w:bottom w:w="0" w:type="dxa"/>
            </w:tcMar>
            <w:vAlign w:val="center"/>
          </w:tcPr>
          <w:p>
            <w:pPr>
              <w:pStyle w:val="TableContents"/>
              <w:bidi w:val="0"/>
              <w:spacing w:before="0" w:after="283"/>
              <w:jc w:val="left"/>
              <w:rPr/>
            </w:pPr>
            <w:r>
              <w:rPr/>
              <w:t>Youxu New Energy Technology (Nanyang)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 xml:space="preserve">March 14, 2023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 xml:space="preserve">Provision of batter swapping stations manufacturing </w:t>
            </w:r>
          </w:p>
        </w:tc>
      </w:tr>
      <w:tr>
        <w:trPr/>
        <w:tc>
          <w:tcPr>
            <w:tcW w:w="2582" w:type="dxa"/>
            <w:tcBorders/>
            <w:shd w:fill="CCEEFF" w:val="clear"/>
            <w:tcMar>
              <w:bottom w:w="0" w:type="dxa"/>
            </w:tcMar>
            <w:vAlign w:val="center"/>
          </w:tcPr>
          <w:p>
            <w:pPr>
              <w:pStyle w:val="TableContents"/>
              <w:bidi w:val="0"/>
              <w:spacing w:before="0" w:after="283"/>
              <w:jc w:val="left"/>
              <w:rPr/>
            </w:pPr>
            <w:r>
              <w:rPr/>
              <w:t>U SWAP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June 13,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ind w:left="0" w:right="0" w:hanging="200"/>
              <w:jc w:val="left"/>
              <w:rPr/>
            </w:pPr>
            <w:r>
              <w:rPr/>
              <w:t>Provision of new energy vehicles sales, battery swapping stations sales, battery swapping services and sourcing services</w:t>
            </w:r>
          </w:p>
        </w:tc>
      </w:tr>
      <w:tr>
        <w:trPr/>
        <w:tc>
          <w:tcPr>
            <w:tcW w:w="2582" w:type="dxa"/>
            <w:tcBorders/>
            <w:shd w:fill="FFFFFF" w:val="clear"/>
            <w:tcMar>
              <w:bottom w:w="0" w:type="dxa"/>
            </w:tcMar>
            <w:vAlign w:val="center"/>
          </w:tcPr>
          <w:p>
            <w:pPr>
              <w:pStyle w:val="TableContents"/>
              <w:bidi w:val="0"/>
              <w:spacing w:before="0" w:after="283"/>
              <w:jc w:val="left"/>
              <w:rPr/>
            </w:pPr>
            <w:r>
              <w:rPr/>
              <w:t>Greendrive Tech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center"/>
              <w:rPr/>
            </w:pPr>
            <w:r>
              <w:rPr/>
              <w:t>March 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2" w:type="dxa"/>
            <w:tcBorders/>
            <w:shd w:fill="FFFFFF" w:val="clear"/>
            <w:tcMar>
              <w:bottom w:w="0" w:type="dxa"/>
            </w:tcMar>
            <w:vAlign w:val="center"/>
          </w:tcPr>
          <w:p>
            <w:pPr>
              <w:pStyle w:val="TableContents"/>
              <w:bidi w:val="0"/>
              <w:spacing w:before="0" w:after="283"/>
              <w:ind w:left="0" w:right="0" w:hanging="200"/>
              <w:jc w:val="left"/>
              <w:rPr/>
            </w:pPr>
            <w:r>
              <w:rPr/>
              <w:t>Provision of new energy vehicles sales, battery swapping stations sales, battery swapping services and sourcing services</w:t>
            </w:r>
          </w:p>
        </w:tc>
      </w:tr>
      <w:tr>
        <w:trPr/>
        <w:tc>
          <w:tcPr>
            <w:tcW w:w="2582" w:type="dxa"/>
            <w:tcBorders/>
            <w:shd w:fill="CCEEFF" w:val="clear"/>
            <w:tcMar>
              <w:bottom w:w="0" w:type="dxa"/>
            </w:tcMar>
            <w:vAlign w:val="center"/>
          </w:tcPr>
          <w:p>
            <w:pPr>
              <w:pStyle w:val="TableContents"/>
              <w:bidi w:val="0"/>
              <w:spacing w:before="0" w:after="283"/>
              <w:jc w:val="left"/>
              <w:rPr/>
            </w:pPr>
            <w:r>
              <w:rPr/>
              <w:t>Shanghai Younengke New Energy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center"/>
              <w:rPr/>
            </w:pPr>
            <w:r>
              <w:rPr/>
              <w:t>July 11,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2" w:type="dxa"/>
            <w:tcBorders/>
            <w:shd w:fill="CCEEFF" w:val="clear"/>
            <w:tcMar>
              <w:bottom w:w="0" w:type="dxa"/>
            </w:tcMar>
            <w:vAlign w:val="center"/>
          </w:tcPr>
          <w:p>
            <w:pPr>
              <w:pStyle w:val="TableContents"/>
              <w:bidi w:val="0"/>
              <w:spacing w:before="0" w:after="283"/>
              <w:jc w:val="left"/>
              <w:rPr/>
            </w:pPr>
            <w:r>
              <w:rPr/>
              <w:t>Provision of new energy vehicles sales, battery swapping stations sales, battery swapping services and sourcing services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9027201ex12-1.htm"/>
      <w:bookmarkStart w:id="48" w:name="ksea029027201ex121"/>
      <w:bookmarkEnd w:id="47"/>
      <w:bookmarkEnd w:id="48"/>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Jia Li, certify that:</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85"/>
        <w:gridCol w:w="7040"/>
      </w:tblGrid>
      <w:tr>
        <w:trPr/>
        <w:tc>
          <w:tcPr>
            <w:tcW w:w="185" w:type="dxa"/>
            <w:tcBorders/>
            <w:vAlign w:val="center"/>
          </w:tcPr>
          <w:p>
            <w:pPr>
              <w:pStyle w:val="TableContents"/>
              <w:bidi w:val="0"/>
              <w:spacing w:before="0" w:after="283"/>
              <w:jc w:val="left"/>
              <w:rPr>
                <w:sz w:val="20"/>
              </w:rPr>
            </w:pPr>
            <w:r>
              <w:rPr>
                <w:sz w:val="20"/>
              </w:rPr>
              <w:t>1.</w:t>
            </w:r>
          </w:p>
        </w:tc>
        <w:tc>
          <w:tcPr>
            <w:tcW w:w="7040" w:type="dxa"/>
            <w:tcBorders/>
            <w:vAlign w:val="center"/>
          </w:tcPr>
          <w:p>
            <w:pPr>
              <w:pStyle w:val="TableContents"/>
              <w:bidi w:val="0"/>
              <w:spacing w:before="0" w:after="283"/>
              <w:jc w:val="both"/>
              <w:rPr>
                <w:sz w:val="20"/>
              </w:rPr>
            </w:pPr>
            <w:r>
              <w:rPr>
                <w:sz w:val="20"/>
              </w:rPr>
              <w:t>I have reviewed this annual report on Form 20-F of U Power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center"/>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35"/>
        <w:gridCol w:w="590"/>
        <w:gridCol w:w="1940"/>
        <w:gridCol w:w="75"/>
      </w:tblGrid>
      <w:tr>
        <w:trPr/>
        <w:tc>
          <w:tcPr>
            <w:tcW w:w="335" w:type="dxa"/>
            <w:tcBorders/>
            <w:vAlign w:val="center"/>
          </w:tcPr>
          <w:p>
            <w:pPr>
              <w:pStyle w:val="TableContents"/>
              <w:bidi w:val="0"/>
              <w:spacing w:before="0" w:after="283"/>
              <w:jc w:val="left"/>
              <w:rPr>
                <w:sz w:val="20"/>
              </w:rPr>
            </w:pPr>
            <w:r>
              <w:rPr>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Jia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40" w:type="dxa"/>
            <w:tcBorders/>
            <w:vAlign w:val="center"/>
          </w:tcPr>
          <w:p>
            <w:pPr>
              <w:pStyle w:val="TableContents"/>
              <w:bidi w:val="0"/>
              <w:spacing w:before="0" w:after="283"/>
              <w:jc w:val="left"/>
              <w:rPr>
                <w:sz w:val="20"/>
              </w:rPr>
            </w:pPr>
            <w:r>
              <w:rPr>
                <w:sz w:val="20"/>
              </w:rPr>
              <w:t>Jia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9027201ex12-2.htm"/>
      <w:bookmarkStart w:id="50" w:name="ksea029027201ex122"/>
      <w:bookmarkEnd w:id="49"/>
      <w:bookmarkEnd w:id="50"/>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Bingyi Zhao, certify that:</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85"/>
        <w:gridCol w:w="7040"/>
      </w:tblGrid>
      <w:tr>
        <w:trPr/>
        <w:tc>
          <w:tcPr>
            <w:tcW w:w="185" w:type="dxa"/>
            <w:tcBorders/>
            <w:vAlign w:val="center"/>
          </w:tcPr>
          <w:p>
            <w:pPr>
              <w:pStyle w:val="TableContents"/>
              <w:bidi w:val="0"/>
              <w:spacing w:before="0" w:after="283"/>
              <w:jc w:val="left"/>
              <w:rPr>
                <w:sz w:val="20"/>
              </w:rPr>
            </w:pPr>
            <w:r>
              <w:rPr>
                <w:sz w:val="20"/>
              </w:rPr>
              <w:t>1.</w:t>
            </w:r>
          </w:p>
        </w:tc>
        <w:tc>
          <w:tcPr>
            <w:tcW w:w="7040" w:type="dxa"/>
            <w:tcBorders/>
            <w:vAlign w:val="center"/>
          </w:tcPr>
          <w:p>
            <w:pPr>
              <w:pStyle w:val="TableContents"/>
              <w:bidi w:val="0"/>
              <w:spacing w:before="0" w:after="283"/>
              <w:jc w:val="both"/>
              <w:rPr>
                <w:sz w:val="20"/>
              </w:rPr>
            </w:pPr>
            <w:r>
              <w:rPr>
                <w:sz w:val="20"/>
              </w:rPr>
              <w:t>I have reviewed this annual report on Form 20-F of U Power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center"/>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335"/>
        <w:gridCol w:w="590"/>
        <w:gridCol w:w="1880"/>
        <w:gridCol w:w="75"/>
      </w:tblGrid>
      <w:tr>
        <w:trPr/>
        <w:tc>
          <w:tcPr>
            <w:tcW w:w="335" w:type="dxa"/>
            <w:tcBorders/>
            <w:vAlign w:val="center"/>
          </w:tcPr>
          <w:p>
            <w:pPr>
              <w:pStyle w:val="TableContents"/>
              <w:bidi w:val="0"/>
              <w:spacing w:before="0" w:after="283"/>
              <w:jc w:val="left"/>
              <w:rPr>
                <w:sz w:val="20"/>
              </w:rPr>
            </w:pPr>
            <w:r>
              <w:rPr>
                <w:sz w:val="20"/>
              </w:rPr>
              <w:t>By:</w:t>
            </w:r>
          </w:p>
        </w:tc>
        <w:tc>
          <w:tcPr>
            <w:tcW w:w="247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Bingyi Zhao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80" w:type="dxa"/>
            <w:tcBorders/>
            <w:vAlign w:val="center"/>
          </w:tcPr>
          <w:p>
            <w:pPr>
              <w:pStyle w:val="TableContents"/>
              <w:bidi w:val="0"/>
              <w:spacing w:before="0" w:after="283"/>
              <w:jc w:val="left"/>
              <w:rPr>
                <w:sz w:val="20"/>
              </w:rPr>
            </w:pPr>
            <w:r>
              <w:rPr>
                <w:sz w:val="20"/>
              </w:rPr>
              <w:t>Bingyi Zhao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9027201ex13-1.htm"/>
      <w:bookmarkStart w:id="52" w:name="ksea029027201ex131"/>
      <w:bookmarkEnd w:id="51"/>
      <w:bookmarkEnd w:id="52"/>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U Power Limited (the “Company”) on Form 20-F for the year ended December 31, 2025, as filed with the Securities and Exchange Commission on the date hereof (the “Report”), I, Jia Li,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center"/>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35"/>
        <w:gridCol w:w="590"/>
        <w:gridCol w:w="1940"/>
        <w:gridCol w:w="75"/>
      </w:tblGrid>
      <w:tr>
        <w:trPr/>
        <w:tc>
          <w:tcPr>
            <w:tcW w:w="335" w:type="dxa"/>
            <w:tcBorders/>
            <w:vAlign w:val="center"/>
          </w:tcPr>
          <w:p>
            <w:pPr>
              <w:pStyle w:val="TableContents"/>
              <w:bidi w:val="0"/>
              <w:spacing w:before="0" w:after="283"/>
              <w:jc w:val="left"/>
              <w:rPr>
                <w:sz w:val="20"/>
              </w:rPr>
            </w:pPr>
            <w:r>
              <w:rPr>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Jia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40" w:type="dxa"/>
            <w:tcBorders/>
            <w:vAlign w:val="center"/>
          </w:tcPr>
          <w:p>
            <w:pPr>
              <w:pStyle w:val="TableContents"/>
              <w:bidi w:val="0"/>
              <w:spacing w:before="0" w:after="283"/>
              <w:jc w:val="left"/>
              <w:rPr>
                <w:sz w:val="20"/>
              </w:rPr>
            </w:pPr>
            <w:r>
              <w:rPr>
                <w:sz w:val="20"/>
              </w:rPr>
              <w:t>Jia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9027201ex13-2.htm"/>
      <w:bookmarkStart w:id="54" w:name="ksea029027201ex132"/>
      <w:bookmarkEnd w:id="53"/>
      <w:bookmarkEnd w:id="54"/>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U Power Limited (the “Company”) on Form 20-F for the year ended December 31, 2025, as filed with the Securities and Exchange Commission on the date hereof (the “Report”), I, Bingyi Zhao,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center"/>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335"/>
        <w:gridCol w:w="590"/>
        <w:gridCol w:w="1880"/>
        <w:gridCol w:w="75"/>
      </w:tblGrid>
      <w:tr>
        <w:trPr/>
        <w:tc>
          <w:tcPr>
            <w:tcW w:w="335" w:type="dxa"/>
            <w:tcBorders/>
            <w:vAlign w:val="center"/>
          </w:tcPr>
          <w:p>
            <w:pPr>
              <w:pStyle w:val="TableContents"/>
              <w:bidi w:val="0"/>
              <w:spacing w:before="0" w:after="283"/>
              <w:jc w:val="left"/>
              <w:rPr>
                <w:sz w:val="20"/>
              </w:rPr>
            </w:pPr>
            <w:r>
              <w:rPr>
                <w:sz w:val="20"/>
              </w:rPr>
              <w:t>By:</w:t>
            </w:r>
          </w:p>
        </w:tc>
        <w:tc>
          <w:tcPr>
            <w:tcW w:w="247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Bingyi Zhao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80" w:type="dxa"/>
            <w:tcBorders/>
            <w:vAlign w:val="center"/>
          </w:tcPr>
          <w:p>
            <w:pPr>
              <w:pStyle w:val="TableContents"/>
              <w:bidi w:val="0"/>
              <w:spacing w:before="0" w:after="283"/>
              <w:jc w:val="left"/>
              <w:rPr>
                <w:sz w:val="20"/>
              </w:rPr>
            </w:pPr>
            <w:r>
              <w:rPr>
                <w:sz w:val="20"/>
              </w:rPr>
              <w:t>Bingyi Zhao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55" w:name="ea029027201ex15-1.htm"/>
      <w:bookmarkStart w:id="56" w:name="ksea029027201ex151"/>
      <w:bookmarkEnd w:id="55"/>
      <w:bookmarkEnd w:id="56"/>
      <w:r>
        <w:rPr>
          <w:rFonts w:ascii="Times New Roman;Times;Serif" w:hAnsi="Times New Roman;Times;Serif"/>
          <w:b/>
          <w:i w:val="false"/>
          <w:caps w:val="false"/>
          <w:smallCaps w:val="false"/>
          <w:sz w:val="20"/>
        </w:rPr>
        <w:t>Exhibit 15.1</w:t>
      </w:r>
      <w:r>
        <w:br w:type="page"/>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381750" cy="1466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5"/>
                    <a:stretch>
                      <a:fillRect/>
                    </a:stretch>
                  </pic:blipFill>
                  <pic:spPr bwMode="auto">
                    <a:xfrm>
                      <a:off x="0" y="0"/>
                      <a:ext cx="6381750" cy="14668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20"/>
        <w:gridCol w:w="312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2F, Zuoan 88 A, Lujiazui,</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People’s Republic of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headings “Item 3. Key Information”, “Item 3. Key Information- Approvals from the PRC Authorities to Conduct Our Operations”, “Item 3. Key Information-D. Risk Factors-Risks Relating to Doing Business in China- We may become subject to a variety of laws and regulations in the PRC regarding privacy, data security, cybersecurity, and data protection” in U Power Limited’s Annual Report on Form 20-F for the fiscal year ended December 31, 2025 (the “Annual Report”), which is filed with the Securities and Exchange Commission (the “SEC”) on the date hereof. We also consent to the filing with the SEC of this consent letter as an exhibit to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1775"/>
        <w:gridCol w:w="75"/>
      </w:tblGrid>
      <w:tr>
        <w:trPr/>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Guantao Law Firm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Guantao Law Firm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9780/000121390026025381/ea028032701ex3-1.htm" TargetMode="External"/><Relationship Id="rId4" Type="http://schemas.openxmlformats.org/officeDocument/2006/relationships/hyperlink" Target="http://www.sec.gov/Archives/edgar/data/1939780/000121390022082127/ff12022ex4-1_upower.htm" TargetMode="External"/><Relationship Id="rId5" Type="http://schemas.openxmlformats.org/officeDocument/2006/relationships/hyperlink" Target="http://www.sec.gov/Archives/edgar/data/1939780/000121390023011344/ff12023a1ex1-1_upower.htm" TargetMode="External"/><Relationship Id="rId6" Type="http://schemas.openxmlformats.org/officeDocument/2006/relationships/hyperlink" Target="http://www.sec.gov/Archives/edgar/data/1939780/000121390023094168/ea189664ex99-4_upower.htm" TargetMode="External"/><Relationship Id="rId7" Type="http://schemas.openxmlformats.org/officeDocument/2006/relationships/hyperlink" Target="http://www.sec.gov/Archives/edgar/data/1939780/000121390025007561/ea022889901ex4-1_upower.htm" TargetMode="External"/><Relationship Id="rId8" Type="http://schemas.openxmlformats.org/officeDocument/2006/relationships/hyperlink" Target="http://www.sec.gov/Archives/edgar/data/1939780/000121390025007561/ea022889901ex4-2_upower.htm" TargetMode="External"/><Relationship Id="rId9" Type="http://schemas.openxmlformats.org/officeDocument/2006/relationships/hyperlink" Target="https://www.sec.gov/Archives/edgar/data/1939780/000121390025044284/ea023947801ex2-6_upower.htm" TargetMode="External"/><Relationship Id="rId10" Type="http://schemas.openxmlformats.org/officeDocument/2006/relationships/hyperlink" Target="http://www.sec.gov/Archives/edgar/data/1939780/000121390026025381/ea028032701ex4-2.htm" TargetMode="External"/><Relationship Id="rId11" Type="http://schemas.openxmlformats.org/officeDocument/2006/relationships/hyperlink" Target="http://www.sec.gov/Archives/edgar/data/1939780/000121390026025381/ea028032701ex4-2.htm" TargetMode="External"/><Relationship Id="rId12" Type="http://schemas.openxmlformats.org/officeDocument/2006/relationships/hyperlink" Target="http://www.sec.gov/Archives/edgar/data/1939780/000121390026027794/ea028160401ex4-3.htm" TargetMode="External"/><Relationship Id="rId13" Type="http://schemas.openxmlformats.org/officeDocument/2006/relationships/hyperlink" Target="http://www.sec.gov/Archives/edgar/data/1939780/000121390026027794/ea028160401ex4-3.htm" TargetMode="External"/><Relationship Id="rId14" Type="http://schemas.openxmlformats.org/officeDocument/2006/relationships/hyperlink" Target="http://www.sec.gov/Archives/edgar/data/1939780/000121390023069924/f20f2022ex4-12_upower.htm" TargetMode="External"/><Relationship Id="rId15" Type="http://schemas.openxmlformats.org/officeDocument/2006/relationships/hyperlink" Target="http://www.sec.gov/Archives/edgar/data/1939780/000121390023069924/f20f2022ex4-13_upower.htm" TargetMode="External"/><Relationship Id="rId16" Type="http://schemas.openxmlformats.org/officeDocument/2006/relationships/hyperlink" Target="http://www.sec.gov/Archives/edgar/data/1939780/000121390023069924/f20f2022ex4-14_upower.htm" TargetMode="External"/><Relationship Id="rId17" Type="http://schemas.openxmlformats.org/officeDocument/2006/relationships/hyperlink" Target="http://www.sec.gov/Archives/edgar/data/1939780/000121390023069924/f20f2022ex4-17_upower.htm" TargetMode="External"/><Relationship Id="rId18" Type="http://schemas.openxmlformats.org/officeDocument/2006/relationships/hyperlink" Target="http://www.sec.gov/Archives/edgar/data/1939780/000121390024043715/ea020526501ex4-15_upower.htm" TargetMode="External"/><Relationship Id="rId19" Type="http://schemas.openxmlformats.org/officeDocument/2006/relationships/hyperlink" Target="http://www.sec.gov/Archives/edgar/data/1939780/000121390024043715/ea020526501ex4-16_upower.htm" TargetMode="External"/><Relationship Id="rId20" Type="http://schemas.openxmlformats.org/officeDocument/2006/relationships/hyperlink" Target="http://www.sec.gov/Archives/edgar/data/1939780/000121390024043715/ea020526501ex4-17_upower.htm" TargetMode="External"/><Relationship Id="rId21" Type="http://schemas.openxmlformats.org/officeDocument/2006/relationships/hyperlink" Target="http://www.sec.gov/Archives/edgar/data/1939780/000121390024043715/ea020526501ex4-18_upower.htm" TargetMode="External"/><Relationship Id="rId22" Type="http://schemas.openxmlformats.org/officeDocument/2006/relationships/hyperlink" Target="http://www.sec.gov/Archives/edgar/data/1939780/000121390023094168/ea189664ex99-2_upower.htm" TargetMode="External"/><Relationship Id="rId23" Type="http://schemas.openxmlformats.org/officeDocument/2006/relationships/hyperlink" Target="http://www.sec.gov/Archives/edgar/data/1939780/000121390024045179/ea020655601ex10-1_upower.htm" TargetMode="External"/><Relationship Id="rId24" Type="http://schemas.openxmlformats.org/officeDocument/2006/relationships/hyperlink" Target="http://www.sec.gov/Archives/edgar/data/1939780/000121390024047969/ea020710701ex10-1_upower.htm" TargetMode="External"/><Relationship Id="rId25" Type="http://schemas.openxmlformats.org/officeDocument/2006/relationships/hyperlink" Target="http://www.sec.gov/Archives/edgar/data/1939780/000121390024057377/ea020874801ex10-1_upower.htm" TargetMode="External"/><Relationship Id="rId26" Type="http://schemas.openxmlformats.org/officeDocument/2006/relationships/hyperlink" Target="http://www.sec.gov/Archives/edgar/data/1939780/000121390025007561/ea022889901ex10-2_upower.htm" TargetMode="External"/><Relationship Id="rId27" Type="http://schemas.openxmlformats.org/officeDocument/2006/relationships/hyperlink" Target="http://www.sec.gov/Archives/edgar/data/1939780/000121390025007561/ea022889901ex10-1_upower.htm" TargetMode="External"/><Relationship Id="rId28" Type="http://schemas.openxmlformats.org/officeDocument/2006/relationships/hyperlink" Target="http://www.sec.gov/Archives/edgar/data/1939780/000121390025044284/ea023947801ex4-25_upower.htm" TargetMode="External"/><Relationship Id="rId29" Type="http://schemas.openxmlformats.org/officeDocument/2006/relationships/hyperlink" Target="http://www.sec.gov/Archives/edgar/data/1939780/000121390025044284/ea023947801ex4-26_upower.htm" TargetMode="External"/><Relationship Id="rId30" Type="http://schemas.openxmlformats.org/officeDocument/2006/relationships/hyperlink" Target="http://www.sec.gov/Archives/edgar/data/1939780/000121390025068216/ea025029801ex10-1_upower.htm" TargetMode="External"/><Relationship Id="rId31" Type="http://schemas.openxmlformats.org/officeDocument/2006/relationships/hyperlink" Target="http://www.sec.gov/Archives/edgar/data/1939780/000121390025068216/ea025029801ex10-2_upower.htm" TargetMode="External"/><Relationship Id="rId32" Type="http://schemas.openxmlformats.org/officeDocument/2006/relationships/hyperlink" Target="http://www.sec.gov/Archives/edgar/data/1939780/000121390025117850/ea026828301ex10-1_upower.htm" TargetMode="External"/><Relationship Id="rId33" Type="http://schemas.openxmlformats.org/officeDocument/2006/relationships/hyperlink" Target="http://www.sec.gov/Archives/edgar/data/1939780/000121390025117850/ea026828301ex10-2_upower.htm" TargetMode="External"/><Relationship Id="rId34" Type="http://schemas.openxmlformats.org/officeDocument/2006/relationships/hyperlink" Target="http://www.sec.gov/Archives/edgar/data/1939780/000121390025117850/ea026828301ex10-3_upower.htm" TargetMode="External"/><Relationship Id="rId35" Type="http://schemas.openxmlformats.org/officeDocument/2006/relationships/hyperlink" Target="http://www.sec.gov/Archives/edgar/data/1939780/000121390025117850/ea026828301ex10-4_upower.htm" TargetMode="External"/><Relationship Id="rId36" Type="http://schemas.openxmlformats.org/officeDocument/2006/relationships/hyperlink" Target="http://www.sec.gov/Archives/edgar/data/1939780/000121390025117850/ea026828301ex10-5_upower.htm" TargetMode="External"/><Relationship Id="rId37" Type="http://schemas.openxmlformats.org/officeDocument/2006/relationships/hyperlink" Target="http://www.sec.gov/Archives/edgar/data/1939780/000121390026025381/ea028032701ex10-23.htm" TargetMode="External"/><Relationship Id="rId38" Type="http://schemas.openxmlformats.org/officeDocument/2006/relationships/hyperlink" Target="http://www.sec.gov/Archives/edgar/data/1939780/000121390026025381/ea028032701ex10-23.htm" TargetMode="External"/><Relationship Id="rId39" Type="http://schemas.openxmlformats.org/officeDocument/2006/relationships/hyperlink" Target="https://www.sec.gov/Archives/edgar/data/1939780/000121390026025381/ea028032701ex10-24.htm" TargetMode="External"/><Relationship Id="rId40" Type="http://schemas.openxmlformats.org/officeDocument/2006/relationships/hyperlink" Target="https://www.sec.gov/Archives/edgar/data/1939780/000121390026041068/ea028544301ex10-1.htm" TargetMode="External"/><Relationship Id="rId41" Type="http://schemas.openxmlformats.org/officeDocument/2006/relationships/hyperlink" Target="http://www.sec.gov/Archives/edgar/data/1939780/000121390026048314/ea028790001ex10-1.htm" TargetMode="External"/><Relationship Id="rId42" Type="http://schemas.openxmlformats.org/officeDocument/2006/relationships/hyperlink" Target="http://www.sec.gov/Archives/edgar/data/1939780/000121390022082127/ff12022ex14-1_upower.htm" TargetMode="External"/><Relationship Id="rId43" Type="http://schemas.openxmlformats.org/officeDocument/2006/relationships/hyperlink" Target="http://www.sec.gov/Archives/edgar/data/1939780/000121390024043715/ea020526501ex11-2_upower.htm" TargetMode="External"/><Relationship Id="rId44" Type="http://schemas.openxmlformats.org/officeDocument/2006/relationships/hyperlink" Target="http://www.sec.gov/Archives/edgar/data/1939780/000121390024043715/ea020526501ex97-1_upower.htm" TargetMode="External"/><Relationship Id="rId45" Type="http://schemas.openxmlformats.org/officeDocument/2006/relationships/image" Target="media/image2.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107695</Words>
  <Characters>591905</Characters>
  <CharactersWithSpaces>702981</CharactersWithSpaces>
  <Paragraphs>14879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